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ACPR/734/2025 vom 21. August 2025</w:t>
      </w:r>
    </w:p>
    <w:p>
      <w:r>
        <w:t>GE Cour de justice, 2025-08-21, FR</w:t>
      </w:r>
    </w:p>
    <w:p>
      <w:r>
        <w:rPr>
          <w:b/>
        </w:rPr>
        <w:t xml:space="preserve">Quelle: </w:t>
      </w:r>
      <w:r>
        <w:t>https://mcp.opencaselaw.ch/entscheid/ge_gerichte_ACPR_734_2025</w:t>
      </w:r>
    </w:p>
    <w:p>
      <w:r>
        <w:t>FR: GE_GERICHTE ACPR/734/2025 du 21 août 2025</w:t>
      </w:r>
    </w:p>
    <w:p>
      <w:r>
        <w:t>IT: GE_GERICHTE ACPR/734/2025 del 21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argue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w:t>
      </w:r>
    </w:p>
    <w:p>
      <w:r>
        <w:t>- 5/7 - P/11104/2025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des mesures qui paraissent nécessaires, dans le cas particulier, pour assurer sa défense, notamment en ce qui concerne les preuves qu'il devra offrir (ATF 115 Ia 103 consid. 4; arrêts du Tribunal fédéral 7B_611/2023 du 20 décembre 2023 consid. 3.2.1; 7B_124/2023 du 25 juillet 2023 consid. 2.1.2).</w:t>
      </w:r>
    </w:p>
    <w:p>
      <w:r>
        <w:rPr>
          <w:b/>
        </w:rPr>
        <w:t>E. 3.4</w:t>
      </w:r>
    </w:p>
    <w:p>
      <w:r>
        <w:t>En l'espèce, la question d'une éventuelle indigence de la recourante peut souffrir de demeurer indécise, dès lors qu'aucune des deux autres conditions cumulatives pour l'octroi de la défense d'office n'est réalisée, ainsi qu'il sera vu ci-après. Ainsi, la condition de gravité de l'affaire au regard du seuil prévu à l'art. 132 al. 3 CPP n'apparait pas réalisée, dans la mesure où la prévenue n'est, compte tenu des infractions pour lesquelles le Ministère public avait indiqué, dans son avis de prochaine clôture de l'instruction du 22 juillet 2025, rendre une ordonnance pénale, in concreto, pas passible d'une peine privative de liberté supérieure à 4 mois ou d'une peine pécuniaire de plus de 120 jours-amende. Ceci est d'autant plus vrai que dans son second avis de prochaine clôture de l'instruction, du 21 août 2025, le Ministère public indique désormais entendre classer la procédure. Les faits reprochés demeurent simples et circonscrits, ayant trait en particulier à un incident dénoncé par sa voisine dans la nuit du 8 au 9 janvier 2025. La recourante a pu s'exprimer sur lesdits faits lors de son audition par la police, hors la présence d'un avocat, dont l'assistance n'était en effet nullement nécessaire, s'agissant uniquement de répondre à des questions portant sur le fait d'avoir aspergé un produit corrosif contre la porte et sur le paillasson de sa voisine. Elle a indiqué ne pas avoir besoin d'un interprète et a été en mesure d'écrire, en français, plusieurs courriers au Ministère public ainsi que le recours. Les normes pénales qui lui sont opposées, soit tentative de lésions corporelles simples, dommages à la propriété et injure, ne présentent pas de réelle difficulté de compréhension ou d'application, même pour une personne sans formation juridique. Il ressort d'ailleurs des réponses de la recourante qu'elle a parfaitement compris les enjeux des comportements incriminés, quand bien même elle les conteste et considère être la victime des agissements de sa voisine, voire d'un groupe dont celle-ci ferait</w:t>
      </w:r>
    </w:p>
    <w:p>
      <w:r>
        <w:t>- 6/7 - P/11104/2025 partie et qui empoisonnerait l'eau de son appartement ou y aurait caché des dispositifs électroniques de surveillance et de prises de vue. En définitive, la cause ne présente pas de difficultés particulières nécessitant l'intervention d'un avocat rémunéré par l'État. Les conditions de l'art. 132 al. 1 let. b CPP ne sont dès lors pas réunies et la défense d'office du recourant pouvait être refusée, par le Ministère public.</w:t>
      </w:r>
    </w:p>
    <w:p>
      <w:r>
        <w:rPr>
          <w:b/>
        </w:rPr>
        <w:t>E. 4</w:t>
      </w:r>
    </w:p>
    <w:p>
      <w:r>
        <w:t>Justifiée, l'ordonnance querellée sera donc confirmée et, partant, le recours rejeté.</w:t>
      </w:r>
    </w:p>
    <w:p>
      <w:r>
        <w:rPr>
          <w:b/>
        </w:rPr>
        <w:t>E. 5</w:t>
      </w:r>
    </w:p>
    <w:p>
      <w:r>
        <w:t>La procédure de recours contre le refus de l'octroi de l'assistance juridique ne donne pas lieu à la perception de frais (art. 20 RAJ). * * * * *</w:t>
      </w:r>
    </w:p>
    <w:p>
      <w:r>
        <w:t>- 7/7 - P/11104/2025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