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ACPR/734/2020 vom 18. September 2020</w:t>
      </w:r>
    </w:p>
    <w:p>
      <w:r>
        <w:t>GE Cour de justice, 2020-09-18, FR</w:t>
      </w:r>
    </w:p>
    <w:p>
      <w:r>
        <w:rPr>
          <w:b/>
        </w:rPr>
        <w:t xml:space="preserve">Quelle: </w:t>
      </w:r>
      <w:r>
        <w:t>https://mcp.opencaselaw.ch/entscheid/ge_gerichte_ACPR_734_2020</w:t>
      </w:r>
    </w:p>
    <w:p>
      <w:r>
        <w:t>FR: GE_GERICHTE ACPR/734/2020 du 18 septembre 2020</w:t>
      </w:r>
    </w:p>
    <w:p>
      <w:r>
        <w:t>IT: GE_GERICHTE ACPR/734/2020 del 18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agissant en personne, ne conteste, à bien le comprendre, pas la révocation de Me D______, mais la nomination d'un avocat d'office autre que celui qu'il aurait souhaité voir désigné.</w:t>
      </w:r>
    </w:p>
    <w:p>
      <w:r>
        <w:rPr>
          <w:b/>
        </w:rPr>
        <w:t>E. 3.1</w:t>
      </w:r>
    </w:p>
    <w:p>
      <w:r>
        <w:t>Dans toutes les procédures pénales et à n'importe quel stade de celle-ci, le prévenu a le droit de charger de sa défense un avocat (défense privée) ou, sous réserve de l'art. 130 CPP, de se défendre soi-même (art. 129 al. 1 cum 127 al. 5 CPP). Conformément à l'art. 130 let. a CPP, le prévenu doit avoir un défenseur notamment lorsque la détention provisoire, y compris la durée de l'arrestation provisoire, a excédé dix jours. S'il n'en désigne pas un d'emblée, la direction de la procédure pourvoit à ce qu'il soit assisté aussitôt d'un avocat (art. 131 al. 1 CPP).</w:t>
      </w:r>
    </w:p>
    <w:p>
      <w:r>
        <w:t>- 4/7 - P/19096/2019 Lorsqu’elle nomme le défenseur d’office, la direction de la procédure prend en considération les souhaits du prévenu dans la mesure du possible (art. 133 al. 2 CPP). Cette disposition codifie la jurisprudence, selon laquelle, bien que les art. 29 al. 3 Cst et 6 § 3 let. c CEDH ne garantissent pas formellement au prévenu le droit de choisir l'avocat qui lui sera commis d'office, l'autorité ne peut arbitrairement, c'est-à-dire sans motifs objectifs suffisants, refuser de tenir compte des souhaits du justiciable à cet égard (Y. JEANNERET / A. KUHN / C. PERRIER DEPEURSINGE (éds), Commentaire romand : Code de procédure pénale suisse, 2ème éd., Bâle 2019, n. 19 ad art. 133).</w:t>
      </w:r>
    </w:p>
    <w:p>
      <w:r>
        <w:rPr>
          <w:b/>
        </w:rPr>
        <w:t>E. 3.2</w:t>
      </w:r>
    </w:p>
    <w:p>
      <w:r>
        <w:t>Si la relation de confiance entre le prévenu et le défenseur d'office est gravement perturbée ou si une défense efficace n'est plus assurée pour d'autres raisons, la direction de la procédure confie la défense d'office à une autre personne (art. 134 al. 2 CPP). Si cet article permet de tenir compte d'une détérioration objective du rapport de confiance entre le prévenu et son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En tout état de cause, le fait de se trouver dans un cas de défense obligatoire ne permet pas d'utiliser les droits conférés à la défense d'une façon constitutive d'un abus de droit (arrêt du Tribunal fédéral 1B_419/2017 du 7 février 2018 consid. 2.2 et 2.3).</w:t>
      </w:r>
    </w:p>
    <w:p>
      <w:r>
        <w:rPr>
          <w:b/>
        </w:rPr>
        <w:t>E. 3.3</w:t>
      </w:r>
    </w:p>
    <w:p>
      <w:r>
        <w:t>L'art. 134 al. 2 CPP n'empêche toutefois pas le prévenu, à n'importe quel stade de la procédure, de charger de sa défense un conseil juridique au sens de l'art. 127 al. 5 CPP (art. 129 CPP; arrêt du Tribunal fédéral 1B_394/2014 du 27 janvier 2015 consid. 2.2.1). Dans la mesure où la défense d'office est subsidiaire à la défense de choix, la direction de la procédure doit alors révoquer le mandat du défenseur désigné (art. 134 al. 1 CPP; Y. JEANNERET / A. KUHN / C. PERRIER DEPEURSINGE (éds), op.cit., n. 16 ad art. 129). Le prévenu qui révoque son défenseur d'office est cependant présumé renoncer au bénéfice de l'assistance judiciaire. La nomination d'office ultérieure de l'avocat qu'il s'est choisi est, par conséquent, exclue, à défaut de quoi les dispositions légales en la matière seraient contournées (M. NIGGLI / M. HEER / H. WIPRÄCHTIGER, Schweizerische Strafprozessordnung / Schweizerische Jugendstrafprozessordnung, Basler Kommentar StPO/JStPO, Bâle 2011, n. 2 ad art. 134). Dans une telle situation, le Tribunal fédéral a considéré qu'il est loisible au justiciable de résilier le mandat de son défenseur de choix et de présenter une nouvelle requête d'assistance judiciaire. Il ne peut en revanche "jouer sur les deux tableaux", en</w:t>
      </w:r>
    </w:p>
    <w:p>
      <w:r>
        <w:t>- 5/7 - P/19096/2019 désignant un défenseur de son choix, puis réclamer à l'État le paiement des frais de sa défense (arrêts du Tribunal fédéral 6B_390/2018 du 25 juillet 2018 consid.8.1 et 1P_310/2001 du 29 juin 2001 consid. 2b). Ainsi, si le droit à un procès équitable lui permet de s'opposer à la désignation d'un avocat déterminé pour des motifs précis et fondés, le prévenu ne peut en revanche pas invoquer qu'il n'aurait pas confiance en lui pour des raisons purement subjectives (arrêt du Tribunal fédéral 1B_66/2018 du 14 février 2018 consid. 3.1).</w:t>
      </w:r>
    </w:p>
    <w:p>
      <w:r>
        <w:rPr>
          <w:b/>
        </w:rPr>
        <w:t>E. 3.4</w:t>
      </w:r>
    </w:p>
    <w:p>
      <w:r>
        <w:t>En l'occurrence, la révocation de Me D______ en qualité de défenseur d'office doit être considérée comme acquise, indépendamment de la question de son bien- fondé, le recourant ne la remettant pas en cause. L'on ne discerne par ailleurs pas dans l'argumentation du recourant, laquelle porte pour l'essentiel sur les manquements réels ou supposés du Procureur et des avocats qui se sont succédé à sa défense dans les procédures dont il fait l'objet, et plus particulièrement la P/1______/2018, de grief objectif formulé à l'encontre de Me C______. Les qualités de cette dernière ne sont en effet pas remises en cause de manière concrète et rien ne permet de considérer qu'elle ne serait pas à même de défendre les intérêts du recourant de manière adéquate. Dans ces conditions et au vu des principes applicables, le recourant ne peut prétendre à ce que le conseil retenu par le Ministère public – au terme d'un processus exempt de critique – soit écarté, du seul fait que son choix se serait porté sur un autre avocat.</w:t>
      </w:r>
    </w:p>
    <w:p>
      <w:r>
        <w:rPr>
          <w:b/>
        </w:rPr>
        <w:t>E. 4</w:t>
      </w:r>
    </w:p>
    <w:p>
      <w:r>
        <w:t>Justifiée, l'ordonnance querellée sera donc confirmée.</w:t>
      </w:r>
    </w:p>
    <w:p>
      <w:r>
        <w:rPr>
          <w:b/>
        </w:rPr>
        <w:t>E. 5</w:t>
      </w:r>
    </w:p>
    <w:p>
      <w:r>
        <w:t>Le recourant, qui succombe, supportera les frais envers l'État, fixés en totalité à CHF 300.- (art. 428 al. 1 CPP et 13 al. 1 du règlement fixant le tarif des frais en matière pénale, RTFMP ; E 4 10.03). * * * * *</w:t>
      </w:r>
    </w:p>
    <w:p>
      <w:r>
        <w:t>- 6/7 - P/19096/2019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