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ACPR/733/2021 vom 12. Mai 2021</w:t>
      </w:r>
    </w:p>
    <w:p>
      <w:r>
        <w:t>GE Cour de justice, 2021-05-12, FR</w:t>
      </w:r>
    </w:p>
    <w:p>
      <w:r>
        <w:rPr>
          <w:b/>
        </w:rPr>
        <w:t xml:space="preserve">Quelle: </w:t>
      </w:r>
      <w:r>
        <w:t>https://mcp.opencaselaw.ch/entscheid/ge_gerichte_ACPR_733_2021</w:t>
      </w:r>
    </w:p>
    <w:p>
      <w:r>
        <w:t>FR: GE_GERICHTE ACPR/733/2021 du 12 mai 2021</w:t>
      </w:r>
    </w:p>
    <w:p>
      <w:r>
        <w:t>IT: GE_GERICHTE ACPR/733/2021 del 12 maggio 2021</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w:t>
      </w:r>
    </w:p>
    <w:p>
      <w:r>
        <w:rPr>
          <w:b/>
        </w:rPr>
        <w:t>E. 2.1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La procédure doit se poursuivre lorsqu'une condamnation apparaît plus vraisemblable qu'un acquittement</w:t>
      </w:r>
    </w:p>
    <w:p>
      <w:r>
        <w:t>- 7/11 - P/7203/2021 ou lorsque les probabilités d'acquittement et de condamnation apparaissent équivalentes, en particulier en présence d'une infraction grave (ATF 143 IV 241 consid. 2.2.1 p. 243; 138 IV 86 consid. 4.1.2 p. 91 et les références citées).</w:t>
      </w:r>
    </w:p>
    <w:p>
      <w:r>
        <w:rPr>
          <w:b/>
        </w:rPr>
        <w:t>E. 2.2</w:t>
      </w:r>
    </w:p>
    <w:p>
      <w:r>
        <w:t>Aux termes de l'art. 123 al. 1 CP est punissable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2.3</w:t>
      </w:r>
    </w:p>
    <w:p>
      <w:r>
        <w:t>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La défense doit apparaître proportionnée au regard de l'ensemble des circonstances. À cet égard, l'on doit notamment examiner la gravité de l'agression, les biens juridiques menacés par celle-ci et par les moyens de défense, la nature de ces derniers ainsi que l'usage concret qui en a été fait (arrêt du Tribunal fédéral 6B_130/2017 du 27 février 2018 consid. 3.1, paru in SJ 2018 I 385). Celui qui repousse une attaque en excédant les limites de la légitime défense n'agit pas de manière coupable si cet excès provient d'un état excusable d'excitation ou de saisissement causé par l'agression (art. 16 al. 2 CP). Il appartient au juge d'apprécier de cas en cas si le degré d'émotion était suffisamment marquant et de déterminer si la nature et les circonstances de l'attaque le rendaient excusable (arrêt du Tribunal fédéral 6B_1015/2014 du 1er juillet 2015 consid. 3.2 et les références citées). Un refus de renvoyer un prévenu en jugement fondé sur l'admission des conditions posées à l'art. 16 al. 2 CP ne paraît possible que s'il n'y a plus de doutes sur les circonstances dans lesquelles l'intéressé a agi (L. MOREILLON / A. PAREIN- REYMOND, Petit commentaire du Code de procédure pénale, 2ème éd. 2016, n. 15 ad art. 319).</w:t>
      </w:r>
    </w:p>
    <w:p>
      <w:r>
        <w:rPr>
          <w:b/>
        </w:rPr>
        <w:t>E. 2.4</w:t>
      </w:r>
    </w:p>
    <w:p>
      <w:r>
        <w:t>Dans un arrêt récent (6B_1177/2020 du 17 juin 2021 destiné à la publication), le Tribunal fédéral a rappelé que la garantie de la présomption d'innocence dont jouit toute personne prévenue (art. 10 al. 1 CPP et 6 par. 2 CEDH) se trouve méconnue si, sans établissement légal préalable de la culpabilité d'un prévenu et, notamment, sans que ce dernier ait eu l'occasion d'exercer les droits de la défense, une décision judiciaire le concernant reflète le sentiment qu'il est coupable, et ce, même en l'absence de constat formel; il suffit d'une motivation donnant à penser que l'organe étatique considère l'intéressé comme coupable (consid. 2). Il en va ainsi lorsqu'une</w:t>
      </w:r>
    </w:p>
    <w:p>
      <w:r>
        <w:t>- 8/11 - P/7203/2021 autorité pénale classe la procédure dirigée contre un individu au motif d'un état de légitime défense (art. 15 CP), alors que la culpabilité du second protagoniste impliqué dans l'altercation litigieuse n'a pas encore été légalement constatée. Dans pareille configuration, impliquant des protagonistes dont les comportements sont intimement liés, il appartient au ministère public de renvoyer tous les intéressés en jugement afin que le juge matériellement compétent se prononce sur les conditions de réalisation des infractions et, le cas échéant, sur le motif justificatif que consacre la légitime défense (consid. 1.5; dans le même sens: ACPR/319/2020 du 14 mai 2020 consid. 2.5).</w:t>
      </w:r>
    </w:p>
    <w:p>
      <w:r>
        <w:rPr>
          <w:b/>
        </w:rPr>
        <w:t>E. 2.5</w:t>
      </w:r>
    </w:p>
    <w:p>
      <w:r>
        <w:t>En l'espèce, les versions de la recourante et de la mise en cause divergent quant à savoir qui a porté le premier coup, toutes deux indiquant s'être uniquement défendues. En revanche, elles s'accordent sur le fait qu'une altercation a eu lieu, que la discussion a dégénéré, que la mise en cause a, a priori à plusieurs reprises, percuté la recourante avec le boîtier de la laisse, que la recourante a, avant ou après avoir reçu le ou les coup(s) de laisse, saisi et tiré les cheveux de son adversaire vers le bas et qu'elles ont dû être séparées par une tierce personne. Il ressort des attestations médicales produites qu'elles ont toutes deux subi des lésions, ne pouvant être qualifiées de passagères ou bégnines. La mise en cause soutient que la recourante l'aurait subitement giflée avant de lui tirer les cheveux, si bien qu'elle se serait uniquement débattue en gesticulant avec la laisse, alors que la recourante expose que la mise en cause l'aurait directement agressée en lui portant un coup au visage avec sa laisse, de sorte que c'est elle-même qui se serait défendue en attrapant et tirant les cheveux de son antagoniste, n'excluant pas lui avoir également donné des coups de pied. Le témoignage de C______ doit être pris avec prudence au vu des liens avec l'une des parties, et ne peut à ce stade être qualifié de suffisant pour confirmer l'une des versions puisqu'il s'écarte aussi en certains points de celle de B______. D______, n'ayant pas assisté à la scène, ses déclarations ne semblent pas utiles pour la reconstitution de l'altercation.</w:t>
      </w:r>
    </w:p>
    <w:p>
      <w:r>
        <w:t>Il appert ainsi que, malgré les déclarations divergentes des parties sur les quelques points précités et le contenu des témoignages, les éléments constitutifs de l'art. 123 CP sont donnés, les deux précitées ayant toutes deux commis cette infraction, au vu des lésions constatées. Le Ministère public a estimé que B______ avait agi en état de légitime défense, de façon appropriée. Or, trancher la culpabilité implique, préalablement, de déterminer</w:t>
      </w:r>
    </w:p>
    <w:p>
      <w:r>
        <w:t>- 9/11 - P/7203/2021 si la précitée a réagi à une attaque, préexistante ou imminente, et le cas échéant de manière proportionnée, ce qui n'a pas encore été établi judiciairement. En l'occurrence, la recourante a formé opposition à l'ordonnance pénale du 29 avril 2021 la reconnaissant coupable de lésions corporelles simples, si bien qu'aucune décision judiciaire n'a établi sa culpabilité, l'opposition ayant mis à néant l'ordonnance précitée. Les conditions pour le prononcé d'une ordonnance de non-entrée en matière ne sont donc pas réunies, la culpabilité de la recourante n'ayant pas été légalement constatée et la légitime défense ne pouvant donc, en l'état, être affirmée. Aussi, à l'aune des principes jurisprudentiels sus-rappelés, la cause doit être retournée au Ministère public pour qu'il instruise les faits et/ou renvoie les deux prévenues en jugement du chef d'infraction à l'art. 123 CP. Il incombera en effet au juge du fond d'établir qu'il y a eu une attaque et, le cas échéant, examiner si la mise en cause a agi dans un état de légitime défense.</w:t>
      </w:r>
    </w:p>
    <w:p>
      <w:r>
        <w:rPr>
          <w:b/>
        </w:rPr>
        <w:t>E. 3</w:t>
      </w:r>
    </w:p>
    <w:p>
      <w:r>
        <w:t>Fondé, le recours sera admis. L'ordonnance querellée sera annulée et la cause renvoyée au Ministère public pour qu'il procède dans le sens des considérants.</w:t>
      </w:r>
    </w:p>
    <w:p>
      <w:r>
        <w:rPr>
          <w:b/>
        </w:rPr>
        <w:t>E. 4</w:t>
      </w:r>
    </w:p>
    <w:p>
      <w:r>
        <w:t>L'admission du recours ne donne pas lieu à la perception de frais (art. 428 al. 1 CPP) et les sûretés versées seront restituées à la recourante.</w:t>
      </w:r>
    </w:p>
    <w:p>
      <w:r>
        <w:rPr>
          <w:b/>
        </w:rPr>
        <w:t>E. 5</w:t>
      </w:r>
    </w:p>
    <w:p>
      <w:r>
        <w:t>La recourante, partie plaignante, qui a gain de cause, conclut à une indemnité à titre de dépens chiffrée à CHF 1'500.- TTC.</w:t>
      </w:r>
    </w:p>
    <w:p>
      <w:r>
        <w:rPr>
          <w:b/>
        </w:rPr>
        <w:t>E. 5.1</w:t>
      </w:r>
    </w:p>
    <w:p>
      <w:r>
        <w:t>En vertu de l'art. 436 al. 1 CPP, les prétentions en indemnité dans les procédures de recours sont régies par les art. 429 à 434 CPP. L'art. 433 CPP prévoit l'octroi d'une juste indemnité à la partie plaignante pour les dépenses occasionnées par la procédure, qu'elle doit chiffrer et justifier.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 La Cour de justice applique au chef d'étude un tarif horaire de CHF 450.- (ACPR/109/2020 du 7 février 2020 et les références citées).</w:t>
      </w:r>
    </w:p>
    <w:p>
      <w:r>
        <w:t>- 10/11 - P/7203/2021</w:t>
      </w:r>
    </w:p>
    <w:p>
      <w:r>
        <w:rPr>
          <w:b/>
        </w:rPr>
        <w:t>E. 5.2</w:t>
      </w:r>
    </w:p>
    <w:p>
      <w:r>
        <w:t>En l'occurrence, l'indemnité réclamée n'a pas été justifiée par la recourante, tant sur le temps d'activité consacré que sur le taux horaire retenu, si bien que la Cour de céans la fixera sur la base de sa propre appréciation du travail effectué. Le recours contient neuf pages (pages de garde et conclusions comprises), dont trois résumant les déclarations des parties et les pièces figurant au dossier ainsi qu'une page et demi consacrée à une analyse en droit. L'indemnité réclamée, à la charge de l'État, paraît ainsi excessive et sera donc fixée à CHF 969.30 (correspondant à deux heures à CHF 450.-), TVA à 7.7% incluse. * * * * *</w:t>
      </w:r>
    </w:p>
    <w:p>
      <w:r>
        <w:t>- 11/11 - P/7203/2021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