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ACPR/731/2024 vom 13. September 2024</w:t>
      </w:r>
    </w:p>
    <w:p>
      <w:r>
        <w:t>GE Cour de justice, 2024-09-13, FR</w:t>
      </w:r>
    </w:p>
    <w:p>
      <w:r>
        <w:rPr>
          <w:b/>
        </w:rPr>
        <w:t xml:space="preserve">Quelle: </w:t>
      </w:r>
      <w:r>
        <w:t>https://mcp.opencaselaw.ch/entscheid/ge_gerichte_ACPR_731_2024</w:t>
      </w:r>
    </w:p>
    <w:p>
      <w:r>
        <w:t>FR: GE_GERICHTE ACPR/731/2024 du 13 septembre 2024</w:t>
      </w:r>
    </w:p>
    <w:p>
      <w:r>
        <w:t>IT: GE_GERICHTE ACPR/731/2024 del 13 settembre 2024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Le prévenu succombe (art. 428 al. 1, 1ère et 2ème phrases, CPP). Il supportera, en conséquence, les frais envers l'État, fixés en totalité à CHF 1'000.- (art. 3 cum 13 al. 1 du Règlement fixant le tarif des frais en matière pénale, RTFMP ; E 4 10.03), étant rappelé que la Chambre de céans est tenue de dresser un état de frais sans égard à l'obtention de l'assistance judiciaire (arrêt du Tribunal fédéral 1B_517/2022 du 22 novembre 2022 consid. 1.3.2).</w:t>
      </w:r>
    </w:p>
    <w:p>
      <w:r>
        <w:rPr>
          <w:b/>
        </w:rPr>
        <w:t>E. 6</w:t>
      </w:r>
    </w:p>
    <w:p>
      <w:r>
        <w:t>L'indemnité du défenseur d'office sera fixée à la fin de la procédure (art. 135 al. 2 CPP). * * * * *</w:t>
      </w:r>
    </w:p>
    <w:p>
      <w:r>
        <w:t>- 12/13 - P/5452/2023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