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ACPR/731/2022 vom 28. September 2022</w:t>
      </w:r>
    </w:p>
    <w:p>
      <w:r>
        <w:t>GE Cour de justice, 2022-09-28, FR</w:t>
      </w:r>
    </w:p>
    <w:p>
      <w:r>
        <w:rPr>
          <w:b/>
        </w:rPr>
        <w:t xml:space="preserve">Quelle: </w:t>
      </w:r>
      <w:r>
        <w:t>https://mcp.opencaselaw.ch/entscheid/ge_gerichte_ACPR_731_2022</w:t>
      </w:r>
    </w:p>
    <w:p>
      <w:r>
        <w:t>FR: GE_GERICHTE ACPR/731/2022 du 28 septembre 2022</w:t>
      </w:r>
    </w:p>
    <w:p>
      <w:r>
        <w:t>IT: GE_GERICHTE ACPR/731/2022 del 28 settembre 2022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w:t>
      </w:r>
    </w:p>
    <w:p>
      <w:r>
        <w:t>- 5/9 - P/14322/2022 qui, partie à la procédure (art. 104 al. 1 let. a CPP), a qualité pour agir, ayant un intérêt juridiquement protégé à la modification ou à l'annulation de la décision querellée (art. 382 al. 1 CPP).</w:t>
      </w:r>
    </w:p>
    <w:p>
      <w:r>
        <w:rPr>
          <w:b/>
        </w:rPr>
        <w:t>E. 2</w:t>
      </w:r>
    </w:p>
    <w:p>
      <w:r>
        <w:t>Le recourant conclut à la tenue d'une audience</w:t>
      </w:r>
    </w:p>
    <w:p>
      <w:r>
        <w:rPr>
          <w:b/>
        </w:rPr>
        <w:t>E. 2.1</w:t>
      </w:r>
    </w:p>
    <w:p>
      <w:r>
        <w:t>De jurisprudence éprouvée, l'art. 29 al. 2 Cst. ne confère aucun droit à l'oralité de la procédure et ne donne notamment pas aux parties le droit de s'exprimer verbalement devant l'autorité appelée à prendre une décision. Au regard de cette disposition, il suffit que chaque intéressé puisse fournir ses explications ou présenter son point de vue verbalement ou par écrit, en personne ou par l'intermédiaire d'un représentant (arrêt du Tribunal fédéral 6B_145/2009 du 28 mai 2009 consid. 3, avec références aux ATF 125 I 209 consid. 9b et ATF 125 I 113 consid. 2a). Lorsque le recourant a eu la possibilité de s'exprimer sans limitation par écrit et en dernier lieu, la tenue d'une audience, au sens de l'art. 390 al. 5 CPP, qui n'a aucun caractère impératif (l'autorité "peut ordonner des débats"), ne se justifie pas dès lors que le droit d'être entendu du prévenu a été pleinement respecté, étant précisé que c'est la forme écrite qui est prescrite pour la procédure de recours (art. 390 al. 1 à</w:t>
      </w:r>
    </w:p>
    <w:p>
      <w:r>
        <w:rPr>
          <w:b/>
        </w:rPr>
        <w:t>E. 2.2</w:t>
      </w:r>
    </w:p>
    <w:p>
      <w:r>
        <w:t>En l'occurrence, le recourant n'explique pas pourquoi il souhaite une telle audience. Il est manifeste qu'il a pu faire valoir ses griefs par écrits dans son recours. Ses droits ont ainsi été pleinement respectés et il n'y a pas lieu d'appointer d'audience débats. Il ne sera ainsi pas donné suite à ses conclusions préalables. 3. Le recourant ne conteste pas les charges retenues contre lui mais critique – sous l'angle du risque de fuite et de la peine encourue – la qualification de brigandage, soutenant qu'il s'agirait, s'il était l'auteur des faits, d'un vol. Ce faisant, le recourant passe sous silence l'infraction à la LEI qui lui est également reprochée. La Chambre de céans retient qu'il ressort du dossier des charges amplement suffisantes et graves de la commission d'actes délictueux, quelle que soit la qualification juridique qui sera retenue. Il n'appartient, en outre, pas à la Chambre de céans d'apprécier la crédibilité des co-prévenus qui "innocenteraient" le recourant.</w:t>
      </w:r>
    </w:p>
    <w:p>
      <w:r>
        <w:rPr>
          <w:b/>
        </w:rPr>
        <w:t>E. 4</w:t>
      </w:r>
    </w:p>
    <w:p>
      <w:r>
        <w:t>Le recourant conteste le risque de fuite.</w:t>
      </w:r>
    </w:p>
    <w:p>
      <w:r>
        <w:rPr>
          <w:b/>
        </w:rPr>
        <w:t>E. 4.1</w:t>
      </w:r>
    </w:p>
    <w:p>
      <w:r>
        <w:t>Conformément à l'art. 221 al. 1 let. a CPP, la détention provisoire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w:t>
      </w:r>
    </w:p>
    <w:p>
      <w:r>
        <w:t>- 6/9 - P/14322/2022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143 IV 160 consid. 4.3).</w:t>
      </w:r>
    </w:p>
    <w:p>
      <w:r>
        <w:rPr>
          <w:b/>
        </w:rPr>
        <w:t>E. 4.2</w:t>
      </w:r>
    </w:p>
    <w:p>
      <w:r>
        <w:t>En l'espèce, il est établi que le recourant est de nationalité étrangère et possède des attaches familiales en France et dans son pays d'origine et qu'il se trouve en situation irrégulière en Suisse. Le risque qu'en cas de libération il cherche à s'enfuir ou disparaisse dans la clandestinité pour échapper à la justice, eu égard à la peine- menace et concrète encourue pour les faits reprochés mais également à la perspective d'une expulsion de Suisse, est donc grand. Le dépôt d'une plainte contre la police n'apparaît pas de nature à le dissuader de disparaître face à une peine privative de liberté que le Ministère public pourrait requérir conformément aux peines menace prévues tant par l'art. 139 que l'art. 140 CP. Il n'appartient pas à la Chambre de céans de se prononcer sur le genre de la peine envisageable. Aucune mesure de substitution n'est apte à pallier ce risque et le recourant n'en propose pas.</w:t>
      </w:r>
    </w:p>
    <w:p>
      <w:r>
        <w:rPr>
          <w:b/>
        </w:rPr>
        <w:t>E. 5</w:t>
      </w:r>
    </w:p>
    <w:p>
      <w:r>
        <w:t>L'admission du risque de fuite suffit à faire échec au recours et dispense donc d'examiner ce qu'il en serait du risque de collusion.</w:t>
      </w:r>
    </w:p>
    <w:p>
      <w:r>
        <w:rPr>
          <w:b/>
        </w:rPr>
        <w:t>E. 6</w:t>
      </w:r>
    </w:p>
    <w:p>
      <w:r>
        <w:t>Au vu de la peine menace concrètement encourue, si le recourant devait être reconnu coupable des infractions qui lui sont reprochées, la durée de la détention provisoire subie à ce jour respecte le principe de la proportionnalité. En effet, 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125 I 60 ; arrêts du Tribunal fédéral 1B_750/2012 du 16 janvier 2013 consid. 2, 1B_624/2011 du 29 novembre 2011 consid. 3.1 et 1B_9/2011 du 7 février 2011 consid. 7.2). De plus, le Ministère public a déjà rendu l'avis de prochaine clôture et annoncé le renvoi des prévenus en jugement, ce qu'il devrait avoir fait avant l'échéance du délai de prolongation accordé.</w:t>
      </w:r>
    </w:p>
    <w:p>
      <w:r>
        <w:rPr>
          <w:b/>
        </w:rPr>
        <w:t>E. 7</w:t>
      </w:r>
    </w:p>
    <w:p>
      <w:r>
        <w:t>Le recours s'avère ainsi infondé et doit être rejeté.</w:t>
      </w:r>
    </w:p>
    <w:p>
      <w:r>
        <w:t>- 7/9 - P/14322/2022</w:t>
      </w:r>
    </w:p>
    <w:p>
      <w:r>
        <w:rPr>
          <w:b/>
        </w:rPr>
        <w:t>E. 8</w:t>
      </w:r>
    </w:p>
    <w:p>
      <w:r>
        <w:t>Le recourant, qui succombe, supportera les frais envers l'État, qui comprendront un émolument de CHF 900.-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9</w:t>
      </w:r>
    </w:p>
    <w:p>
      <w:r>
        <w:t>Le recourant plaide au bénéfice d'une défense d'office.</w:t>
      </w:r>
    </w:p>
    <w:p>
      <w:r>
        <w:rPr>
          <w:b/>
        </w:rPr>
        <w:t>E. 9.1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9.2</w:t>
      </w:r>
    </w:p>
    <w:p>
      <w:r>
        <w:t>En l'occurrence, quand bien même le recourant succombe, on peut admettre que l'exercice de ce premier recours ne procède pas d'un abus.</w:t>
      </w:r>
    </w:p>
    <w:p>
      <w:r>
        <w:rPr>
          <w:b/>
        </w:rPr>
        <w:t>E. 10</w:t>
      </w:r>
    </w:p>
    <w:p>
      <w:r>
        <w:t>L'indemnité du défenseur d'office sera fixée à la fin de la procédure (art. 135 al. 2 CPP). * * * * *</w:t>
      </w:r>
    </w:p>
    <w:p>
      <w:r>
        <w:t>- 8/9 - P/14322/2022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