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ACPR/731/2021 vom 11. Dezember 2020</w:t>
      </w:r>
    </w:p>
    <w:p>
      <w:r>
        <w:t>GE Cour de justice, 2020-12-11, FR</w:t>
      </w:r>
    </w:p>
    <w:p>
      <w:r>
        <w:rPr>
          <w:b/>
        </w:rPr>
        <w:t xml:space="preserve">Quelle: </w:t>
      </w:r>
      <w:r>
        <w:t>https://mcp.opencaselaw.ch/entscheid/ge_gerichte_ACPR_731_2021</w:t>
      </w:r>
    </w:p>
    <w:p>
      <w:r>
        <w:t>FR: GE_GERICHTE ACPR/731/2021 du 11 décembre 2020</w:t>
      </w:r>
    </w:p>
    <w:p>
      <w:r>
        <w:t>IT: GE_GERICHTE ACPR/731/2021 del 11 dicembre 2020</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t>- 8/12 - PS/39/2021</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est recevable pour être dirigé contre une décision rendue par le SAPEM (art. 40 al. 1 et 5 al. 2 let. e LaCP ; art. 11 al. 1 let. e Règlement sur l'exécution des peines et mesures du 19 mars 2014 [REPM ; RS E 4 55.05]), avoir été déposé dans la forme et le délai prescrits (art. 385 al. 1 et 396 al 1 CPP) et émaner du condamné visé par la décision querellée et qui a un intérêt juridiquement protégé à l'annulation de la décision entreprise (art. 382 al. 1 CPP).</w:t>
      </w:r>
    </w:p>
    <w:p>
      <w:r>
        <w:rPr>
          <w:b/>
        </w:rPr>
        <w:t>E. 2</w:t>
      </w:r>
    </w:p>
    <w:p>
      <w:r>
        <w:t>Le recourant souhaite la tenue d'une audience devant l'autorité de recours.</w:t>
      </w:r>
    </w:p>
    <w:p>
      <w:r>
        <w:rPr>
          <w:b/>
        </w:rPr>
        <w:t>E. 2.1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ACPR/422/2012 du 14 octobre 2012).</w:t>
      </w:r>
    </w:p>
    <w:p>
      <w:r>
        <w:rPr>
          <w:b/>
        </w:rPr>
        <w:t>E. 2.2</w:t>
      </w:r>
    </w:p>
    <w:p>
      <w:r>
        <w:t>En l'espèce, le recourant a pu faire valoir ses griefs dans ses écritures. Ses droits ont ainsi été pleinement respectés et il ne sera donc pas ordonné d'audience.</w:t>
      </w:r>
    </w:p>
    <w:p>
      <w:r>
        <w:rPr>
          <w:b/>
        </w:rPr>
        <w:t>E. 3.1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w:t>
      </w:r>
    </w:p>
    <w:p>
      <w:r>
        <w:t>- 9/12 - PS/39/2021 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 Aux termes de l'article 75a CP, la commission visée à l'art. 62d al. 2 CP, apprécie, lorsqu'il est question d'un placement dans un établissement d'exécution des peines ouvert ou de l'octroi d'allégements dans l'exécution, le caractère dangereux du détenu pour la collectivité si le détenu a commis un crime visé à l'art. 64 al. 1 et si l'autorité d'exécution ne peut se prononcer d'une manière catégorique sur le caractère dangereux du détenu pour la collectivité. À son alinéa 3, la disposition précitée prévoit que le caractère dangereux du détenu pour la collectivité est admis s'il y a lieu de craindre que le détenu ne s'enfuie et ne commette une autre infraction par laquelle il porterait gravement atteinte à l'intégrité physique, psychique ou sexuelle d'autrui</w:t>
      </w:r>
    </w:p>
    <w:p>
      <w:r>
        <w:rPr>
          <w:b/>
        </w:rPr>
        <w:t>E. 3.2</w:t>
      </w:r>
    </w:p>
    <w:p>
      <w:r>
        <w:t>En l'espèce, l'expertise psychiatrique de mars 2020, sur la base de laquelle la mesure institutionnelle a été ordonnée, conclut à l'existence, chez le recourant de schizophrénie pseudo-psychopathique, de consommation nocive pour la santé de multiples substances psychoactives et d'un syndrome de dépendance au cannabis; le recourant présentait un discours et un comportement désorganisés et des idées délirantes à thématiques paranoïaque, de filiation et mégalomaniaque et de mécanismes interprétatifs et hallucinatoires (acoustico-verbales ou visuelles); il présente, en outre, une anosognosie complète de son trouble psychiatrique. Si l'on conçoit que le recourant n'a pas consommé de stupéfiants depuis son incarcération en août 2020, on ignore, les médecins ne se prononçant pas sur cette question, s'il reçoit des produits de substitution et s'il doit être considéré comme étant sevré. De plus, face à l'échec sur tous les plans de la mise en place des mesures thérapeutiques en ambulatoire et la dégradation de la situation de A______, l'expert, le 7 octobre 2020, a préconisé une mesure thérapeutique en milieu fermé, telle que B______, ce qui permettrait de mettre le recourant à l'abri des prises toxiques et de le soumettre à une médication antipsychotique obligatoire; les deux traitements devaient être menés de front.</w:t>
      </w:r>
    </w:p>
    <w:p>
      <w:r>
        <w:t>- 10/12 - PS/39/2021 L'expert a précisé que le risque de récidive générale était élevé, y compris pour des faits de même nature que ceux pour lesquels il était alors accusé. Or, l'infraction d'incendie intentionnel, pour laquelle il a été reconnu coupable, est grave et met en danger la sécurité publique. Ce risque a été retenu comme étant élevé en mars 2020 et n'a jamais été revu depuis, notamment pas lors de l'expertise complémentaire d'octobre 2020; il n'est pas exclusivement lié à l'addiction de l'intéressé mais également au trouble psychiatrique dont il souffre. Contrairement à ce que soutient le recourant, son évolution ne permet pas de considérer que l'expertise psychiatrique serait trop ancienne et donc obsolète. En outre, le recourant ne reçoit le traitement que depuis novembre 2020, soit depuis moins d'une année, alors même que les médecins ont préconisé une prise en charge régulière et intensive au long cours. Le risque de récidive est ainsi établi au sens de l'art. 59 al. 3 CP, de même que le risque de fuite, qui pourrait se concrétiser sous la forme de fugues, au vu des précédents échecs systématiques de soins en milieu ouvert et de son état psychique très fragile du recourant. Enfin, les médecins, qui préconisent un cadre mieux adapté à la pathologie psychiatrique et la vulnérabilité de A______, n'ont pas évoqué un passage en milieu ouvert; à l'évidence, un tel élargissement n'est pas encore à l'ordre du jour. Depuis la décision querellée, le recourant a été transféré à B______, lieu mieux adapté. C'est donc à bon droit que le SAPEM a ordonné son placement en milieu fermé. Le recours sera dès lors rejeté.</w:t>
      </w:r>
    </w:p>
    <w:p>
      <w:r>
        <w:rPr>
          <w:b/>
        </w:rPr>
        <w:t>E. 4</w:t>
      </w:r>
    </w:p>
    <w:p>
      <w:r>
        <w:t>Justifiée, la décision querellée sera donc confirmée.</w:t>
      </w:r>
    </w:p>
    <w:p>
      <w:r>
        <w:rPr>
          <w:b/>
        </w:rPr>
        <w:t>E. 5</w:t>
      </w:r>
    </w:p>
    <w:p>
      <w:r>
        <w:t>Le recourant, qui succombe, supportera les frais envers l'État, qui seront arrêtés à CHF 600.- (art. 428 al. 1 CPP et 13 al. 1 du Règlement fixant le tarif des frais en matière pénale, RTFMP ; E 4 10.03). * * * * *</w:t>
      </w:r>
    </w:p>
    <w:p>
      <w:r>
        <w:t>- 11/12 - PS/39/2021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