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ACPR/730/2019 vom 29. April 2019</w:t>
      </w:r>
    </w:p>
    <w:p>
      <w:r>
        <w:t>GE Cour de justice, 2019-04-29, FR</w:t>
      </w:r>
    </w:p>
    <w:p>
      <w:r>
        <w:rPr>
          <w:b/>
        </w:rPr>
        <w:t xml:space="preserve">Quelle: </w:t>
      </w:r>
      <w:r>
        <w:t>https://mcp.opencaselaw.ch/entscheid/ge_gerichte_ACPR_730_2019</w:t>
      </w:r>
    </w:p>
    <w:p>
      <w:r>
        <w:t>FR: GE_GERICHTE ACPR/730/2019 du 29 avril 2019</w:t>
      </w:r>
    </w:p>
    <w:p>
      <w:r>
        <w:t>IT: GE_GERICHTE ACPR/730/2019 del 29 aprile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être entré en matière sur les faits dénoncés dans sa plainte pénale.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w:t>
      </w:r>
    </w:p>
    <w:p>
      <w:r>
        <w:t>- 6/10 - P/16130/2018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Une ordonnance de non-entrée en matière doit également être rendue lorsqu'il existe des empêchements de procéder (art. 310 al. 1 let. b CPP), par exemple lorsque l'action publique est prescrite (L. MOREILLON / A. PAREIN-REYMOND, CPP, Code de procédure pénale, 2e éd., Bâle 2016, n. 13 ad art. 310) ou que le délai pour déposer plainte prévu par l'art. 31 CP (cf. infra ch. 3.7) n'a pas été respecté (arrêt du Tribunal fédéral 6B_848/2018 du 4 décembre 2018 consid. 1.5)</w:t>
      </w:r>
    </w:p>
    <w:p>
      <w:r>
        <w:rPr>
          <w:b/>
        </w:rPr>
        <w:t>E. 3.3</w:t>
      </w:r>
    </w:p>
    <w:p>
      <w:r>
        <w:t>Enfin, tel est également le cas lorsqu'il peut être renoncé à toute poursuite ou à toute sanction en vertu de dispositions légales (art. 310 al. 1 let. c cum art. 8 al. 1 CPP), notamment si la culpabilité de l'auteur et les conséquences de son acte sont peu importantes (art. 52 CP).</w:t>
      </w:r>
    </w:p>
    <w:p>
      <w:r>
        <w:rPr>
          <w:b/>
        </w:rPr>
        <w:t>E. 3.4</w:t>
      </w:r>
    </w:p>
    <w:p>
      <w:r>
        <w:t>L'art. 180 al. 1 CP réprime le comportement de celui qui, par une menace grave, aura alarmé ou effrayé une personne. La menace est grave si elle est objectivement de nature à alarmer ou effrayer la victime. Est déterminante, à cet égard, la réaction qu'aurait une personne raisonnable, dotée d'une résistance psychologique moyenne, face à une situation identique (ATF 122 IV 97 consid. 2b; arrêt du Tribunal fédéral 6B_578/2016 du 19 août 2016 consid. 2.1).</w:t>
      </w:r>
    </w:p>
    <w:p>
      <w:r>
        <w:rPr>
          <w:b/>
        </w:rPr>
        <w:t>E. 3.5</w:t>
      </w:r>
    </w:p>
    <w:p>
      <w:r>
        <w:t>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w:t>
      </w:r>
    </w:p>
    <w:p>
      <w:r>
        <w:t>- 7/10 - P/16130/2018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 arrêt du Tribunal fédéral 6B_498/2012 du 14 février 2013 consid. 5.1). Il faut, en outre, que l'auteur s'adresse à un tiers, soit toute personne autre que l'auteur et la personne visée (B. CORBOZ, Les infractions en droit suisse, vol. I, 3ème éd., Berne 2010, n. 45 ad art. 173 CP et les références citées).</w:t>
      </w:r>
    </w:p>
    <w:p>
      <w:r>
        <w:rPr>
          <w:b/>
        </w:rPr>
        <w:t>E. 3.6</w:t>
      </w:r>
    </w:p>
    <w:p>
      <w:r>
        <w:t>Se rend coupable d'injure celui qui aura, par la parole, l'écriture, l'image, le geste ou par des voies de fait, attaqué autrui dans son honneur (art. 177 al. 1 CP).</w:t>
      </w:r>
    </w:p>
    <w:p>
      <w:r>
        <w:rPr>
          <w:b/>
        </w:rPr>
        <w:t>E. 3.7</w:t>
      </w:r>
    </w:p>
    <w:p>
      <w:r>
        <w:t>Selon l'art. 31 CP, le droit de porter plainte se prescrit par trois mois (1ère phr.). Le délai court du jour où l'ayant droit a connu l'auteur de l'infraction (2ème phr.). L'observation du délai de plainte fixé à l'art. 31 CP est une condition d'exercice de l'action publique (ATF 118 IV 325 consid. 2b), qui justifie un refus de mettre en œuvre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qui ne peut être ni suspendu, ni interrompu, ni prolongé.</w:t>
      </w:r>
    </w:p>
    <w:p>
      <w:r>
        <w:rPr>
          <w:b/>
        </w:rPr>
        <w:t>E. 3.8</w:t>
      </w:r>
    </w:p>
    <w:p>
      <w:r>
        <w:t>En l'espèce, la plainte pénale a été déposée le 24 août 2018, et les infractions dénoncées ne sont poursuivies que sur plainte préalable. Ainsi, en l'absence de délit continu (art. 98 let. c CP), les éventuels faits délictueux antérieurs au 24 mai 2018 ne peuvent être poursuivis. En outre, les intimidations litigieuses, que ce soit la révélation à l'employeur de la liaison ou les menaces liées au retrait de la plainte, n'apparaissent pas être d'une nature telle qu'elles puissent objectivement alarmer une personne de sensibilité moyenne, placée dans les mêmes circonstances. La plaignante n'allègue d'ailleurs pas avoir été effrayée par ces propos, mais tout au plus "inquiétée". L'assertion était donc impropre, tant sur le plan objectif que subjectif, à l'alarmer. S'agissant de l'infraction de calomnie, si la mise en cause a reconnu avoir parlé à F______ de la liaison entre son mari et la recourante, elle a toutefois contesté avoir elle-même rapporté à celui-ci que la recourante se prostituerait, expliquant que son mari en avait parlé avec la responsable des ressources humaines. En outre, il ne</w:t>
      </w:r>
    </w:p>
    <w:p>
      <w:r>
        <w:t>- 8/10 - P/16130/2018 ressort pas des courriels produits que la mise en cause aurait spécifiquement tenu les propos litigieux au précité. Si la mise en cause a admis avoir envoyé des messages grossiers à la recourante, force est de constater que ce litige s'inscrit dans une situation personnelle difficile et conflictuelle opposant les deux femmes – qui s'accusent mutuellement d'insultes et de menaces –, et relève essentiellement de la sphère privée, aucun trouble social n'ayant résulté, concrètement et in situ, des agissements dénoncés. Les périodes durant lesquelles la recourante se plaint d'avoir reçu des messages déplaisants correspondent à celles où la mise en cause accuse la recourante d'avoir contacté son mari alors qu'ils étaient en vacances ou de l'avoir provoquée en lui envoyant des photographies en compagnie de celui-ci. Ainsi, la recourante ne paraît pas avoir eu un comportement irréprochable et l'état de désarroi dans lequel se trouvait la mise en cause ne semble pas feint. Vu le contexte précité, la culpabilité de la mise en cause devrait, en tout état de cause, être atténuée. Enfin, la recourante n'a pas allégué de dommage concret dont elle aurait souffert, le fait de présumer que recevoir de tels messages aurait des conséquences néfastes n'étant en soi pas suffisant. C'est donc à juste titre que le Ministère public a considéré que les conditions de l'art. 52 CP étaient réalisées.</w:t>
      </w:r>
    </w:p>
    <w:p>
      <w:r>
        <w:rPr>
          <w:b/>
        </w:rPr>
        <w:t>E. 4</w:t>
      </w:r>
    </w:p>
    <w:p>
      <w:r>
        <w:t>Justifiée, l'ordonnance querellée, exempte de critique dans son résultat, sera confirmée.</w:t>
      </w:r>
    </w:p>
    <w:p>
      <w:r>
        <w:rPr>
          <w:b/>
        </w:rPr>
        <w:t>E. 5</w:t>
      </w:r>
    </w:p>
    <w:p>
      <w:r>
        <w:t>La recourante, qui succombe, supportera les frais envers l'État, qui seront fixés en totalité à CHF 900.- (art. 428 al. 1 CPP et 13 al. 1 du Règlement fixant le tarif des frais en matière pénale, RTFMP ; E 4 10.03). * * * * *</w:t>
      </w:r>
    </w:p>
    <w:p>
      <w:r>
        <w:t>- 9/10 - P/16130/2018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