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ACPR/728/2020 vom 18. August 2020</w:t>
      </w:r>
    </w:p>
    <w:p>
      <w:r>
        <w:t>GE Cour de justice, 2020-08-18, FR</w:t>
      </w:r>
    </w:p>
    <w:p>
      <w:r>
        <w:rPr>
          <w:b/>
        </w:rPr>
        <w:t xml:space="preserve">Quelle: </w:t>
      </w:r>
      <w:r>
        <w:t>https://mcp.opencaselaw.ch/entscheid/ge_gerichte_ACPR_728_2020</w:t>
      </w:r>
    </w:p>
    <w:p>
      <w:r>
        <w:t>FR: GE_GERICHTE ACPR/728/2020 du 18 août 2020</w:t>
      </w:r>
    </w:p>
    <w:p>
      <w:r>
        <w:t>IT: GE_GERICHTE ACPR/728/2020 del 18 agosto 2020</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décision sujette à recours auprès de la Chambre de céans (art. 310 al. 2, 322 al. 3 et 393 al. 1 let a CPP) et émaner du plaignant qui, partie à la procédure (art. 104 al. 1 let. b CPP), a qualité pour agir, ayant un intérêt juridiquement protégé à la modification ou à l'annulation de la décision querellée (art. 382 al. 1 CPP). La conclusion en (ré)audition de B______ montre que le recourant demande implicitement cette annulation.</w:t>
      </w:r>
    </w:p>
    <w:p>
      <w:r>
        <w:rPr>
          <w:b/>
        </w:rPr>
        <w:t>E. 2</w:t>
      </w:r>
    </w:p>
    <w:p>
      <w:r>
        <w:t>Le recourant affirme que les conditions d'une non-entrée en matière n'étaient pas réunies, au motif qu'il disposait de preuves de la culpabilité de B______.</w:t>
      </w:r>
    </w:p>
    <w:p>
      <w:r>
        <w:t>- 3/6 - P/14817/2020</w:t>
      </w:r>
    </w:p>
    <w:p>
      <w:r>
        <w:rPr>
          <w:b/>
        </w:rPr>
        <w:t>E. 2.1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en va ainsi lorsqu'aucun élément concret ne permet d'identifier l'auteur (Y. JEANNERET / A. KUHN / C. PERRIER DEPEURSINGE (éds), Commentaire romand : Code de procédure pénale suisse, 2ème éd., Bâle 2019, n.9a ad art. 310). Il s'agit aussi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 cit., n. 9 ad art. 310; R. PFISTER-LIECHTI (éd.), La procédure pénale fédérale, Fondation pour la formation continue des juges suisses, Berne 2010, p. 62; DCPR/85/2011 du 27 avril 2011).</w:t>
      </w:r>
    </w:p>
    <w:p>
      <w:r>
        <w:rPr>
          <w:b/>
        </w:rPr>
        <w:t>E. 2.2</w:t>
      </w:r>
    </w:p>
    <w:p>
      <w:r>
        <w:t>En l'espèce, le recourant réclame le paiement de divers montants qu'il estime lui être dus par suite du rachat de son kiosque.</w:t>
      </w:r>
    </w:p>
    <w:p>
      <w:r>
        <w:t>- 4/6 - P/14817/2020 Tant le contenu de la plainte que l'acte de recours demandent la réparation d'un dommage lié à une diminution de stock ou à des factures impayées, que l'acheteur aurait laissées à son départ du kiosque. On n'y lit nulle part qu'une infraction pénale – i.e. un acte rendu punissable par le Code pénal – aurait été commise au préjudice du recourant. Or, réclamer la réparation d'un dommage civil par la voie pénale n'est pas possible sans qu'une infraction à la loi pénale ne soit, au moins, rendue vraisemblable. Tel n'est pas le cas. Le recourant admet ne pas pouvoir prouver les menaces de l'acheteur qui l'ont amené à lui rembourser CHF 10'000.-. Par ailleurs, les postes du dommage réclamé ne sont pas mis en lien avec une infraction au Code pénal. Il est possible que certaines dettes réclamées au recourant soient nées pendant le laps de temps durant lequel l'acheteur a exploité le kiosque. Cette question est cependant de nature contractuelle et doit être tranchée, le cas échéant, par la justice civile. Il en va de même si le recourant estime que B______ lui reste aussi redevable de l'intégralité du prix de vente du kiosque. C'est, par conséquent, à juste titre que le Ministère public considère qu'aucun soupçon suffisant n'est apparu en l'état contre B______.</w:t>
      </w:r>
    </w:p>
    <w:p>
      <w:r>
        <w:rPr>
          <w:b/>
        </w:rPr>
        <w:t>E. 3</w:t>
      </w:r>
    </w:p>
    <w:p>
      <w:r>
        <w:t>Comme le recours est mal fondé, la Chambre de céans pouvait décider d'emblée de le traiter sans échange d'écritures ni débats (art. 390 al. 2 et 5 a contrario CPP).</w:t>
      </w:r>
    </w:p>
    <w:p>
      <w:r>
        <w:rPr>
          <w:b/>
        </w:rPr>
        <w:t>E. 4</w:t>
      </w:r>
    </w:p>
    <w:p>
      <w:r>
        <w:t>N'ayant pas gain de cause, le recourant supportera les frais envers l'État, qui seront fixés en totalité à CHF 500.- (art. 428 al. 1 CPP et 13 al. 1 du Règlement fixant le tarif des frais en matière pénale, RTFMP; E 4 10.03)</w:t>
      </w:r>
    </w:p>
    <w:p>
      <w:r>
        <w:t>* * * * *</w:t>
      </w:r>
    </w:p>
    <w:p>
      <w:r>
        <w:t>- 5/6 - P/14817/2020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