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ACPR/724/2024 vom 10. Juli 2024</w:t>
      </w:r>
    </w:p>
    <w:p>
      <w:r>
        <w:t>GE Cour de justice, 2024-07-10, FR</w:t>
      </w:r>
    </w:p>
    <w:p>
      <w:r>
        <w:rPr>
          <w:b/>
        </w:rPr>
        <w:t xml:space="preserve">Quelle: </w:t>
      </w:r>
      <w:r>
        <w:t>https://mcp.opencaselaw.ch/entscheid/ge_gerichte_ACPR_724_2024</w:t>
      </w:r>
    </w:p>
    <w:p>
      <w:r>
        <w:t>FR: GE_GERICHTE ACPR/724/2024 du 10 juillet 2024</w:t>
      </w:r>
    </w:p>
    <w:p>
      <w:r>
        <w:t>IT: GE_GERICHTE ACPR/724/2024 del 10 luglio 2024</w:t>
      </w:r>
    </w:p>
    <w:p>
      <w:pPr>
        <w:pStyle w:val="Heading2"/>
      </w:pPr>
      <w:r>
        <w:t>Erwägungen</w:t>
      </w:r>
    </w:p>
    <w:p>
      <w:r>
        <w:rPr>
          <w:b/>
        </w:rPr>
        <w:t>E. 1.1</w:t>
      </w:r>
    </w:p>
    <w:p>
      <w:r>
        <w:t>Le recours est recevable pour avoir été déposé selon la forme et dans le délai prescrits (art. 385 al. 1 et 396 al. 1 CPP) et concerner une ordonnance sujette à recours auprès de la Chambre de céans (art. 393 al. 1 let. a CPP).</w:t>
      </w:r>
    </w:p>
    <w:p>
      <w:r>
        <w:rPr>
          <w:b/>
        </w:rPr>
        <w:t>E. 1.2</w:t>
      </w:r>
    </w:p>
    <w:p>
      <w:r>
        <w:t>Seule la personne qui a un intérêt juridiquement protégé à la modification ou à l'annulation de la décision querellée dispose de la qualité pour recourir (art. 382 al. 1 CPP).</w:t>
      </w:r>
    </w:p>
    <w:p>
      <w:r>
        <w:rPr>
          <w:b/>
        </w:rPr>
        <w:t>E. 1.2.1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Pour être directement touché, le lésé doit en outre subir une atteinte en rapport de causalité directe avec l'infraction poursuivie, ce qui exclut les dommages par ricochet (arrêt du Tribunal fédéral 6B_655/2019 du 12 juillet 2019 consid. 4.1). Les personnes subissant un préjudice indirect n'ont donc pas le statut de lésé et sont des tiers n'ayant pas accès au statut de partie à la procédure (arrêt du Tribunal fédéral 1B_191/2014 du 14 août 2014 consid. 3.1).</w:t>
      </w:r>
    </w:p>
    <w:p>
      <w:r>
        <w:rPr>
          <w:b/>
        </w:rPr>
        <w:t>E. 1.2.2</w:t>
      </w:r>
    </w:p>
    <w:p>
      <w:r>
        <w:t>Le bien juridique protégé par les dispositions figurant parmi les infractions contre le patrimoine est, de manière générale, le patrimoine du lésé (ATF 129 IV 53 consid. 3.2). L'art. 138 ch. 1 al. 1 CP vise en particulier la propriété et le pouvoir de disposition de l'ayant droit (A. MACALUSO / L. MOREILLON / N. QUELOZ</w:t>
      </w:r>
    </w:p>
    <w:p>
      <w:r>
        <w:t>- 6/9 - P/10958/2022 (éds), Commentaire romand, Code pénal II, vol. II, Partie spéciale : art. 111-392 CP, Bâle 2017, n. 3 ad art. 138).</w:t>
      </w:r>
    </w:p>
    <w:p>
      <w:r>
        <w:rPr>
          <w:b/>
        </w:rPr>
        <w:t>E. 1.3</w:t>
      </w:r>
    </w:p>
    <w:p>
      <w:r>
        <w:t>En l'occurrence, les recourants établissent par pièces être propriétaires des motos dont ils auraient été dépossédés par le mis en cause, soit B______ pour les F______/3______ (3ème) et F______/5______ (5ème), et A______ Sàrl pour la F______/1______ (1ère) compte tenu de l'immatriculation de cet engin au nom de ladite société. Sous cet angle, le recours est recevable. Les G______ ont par contre été cédées par A______ Sàrl à un tiers en octobre 2021, à teneur des déclarations de B______ et des documents produits. Ces faits sont en contradiction avec ce que prétendent les recourants au stade du recours, lorsqu'ils affirment que lesdites motos auraient été revendues à leur insu par le mis en cause. Faute d'un comportement pénalement relevant de ce dernier à cet égard, les recourants ne sauraient revêtir la qualité de lésé sous cet aspect.</w:t>
      </w:r>
    </w:p>
    <w:p>
      <w:r>
        <w:rPr>
          <w:b/>
        </w:rPr>
        <w:t>E. 2</w:t>
      </w:r>
    </w:p>
    <w:p>
      <w:r>
        <w:t>Au stade du recours, les recourants considèrent que l'infraction d'abus de confiance est réalisée concernant les trois motos F______.</w:t>
      </w:r>
    </w:p>
    <w:p>
      <w:r>
        <w:rPr>
          <w:b/>
        </w:rPr>
        <w:t>E. 2.1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2.2</w:t>
      </w:r>
    </w:p>
    <w:p>
      <w:r>
        <w:t>Se rend coupable d'abus de confiance au sens de l'art. 138 ch. 1 al. 1 CP, quiconque, pour se procurer ou procurer à un tiers un enrichissement illégitime, s’approprie une chose mobilière appartenant à autrui et qui lui a été confiée.</w:t>
      </w:r>
    </w:p>
    <w:p>
      <w:r>
        <w:t>- 7/9 - P/10958/2022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L'acte d'appropriation signifie tout d'abord que l'auteur incorpore économiquement la chose ou la valeur de la chose à son propre patrimoine, pour la conserver, la consommer ou pour l'aliéner; il dispose alors d'une chose comme propriétaire, sans pour autant en avoir la qualité. En outre,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25 consid. 1c; 118 IV 148 consid. 2a; arrêt du Tribunal fédéral 6B_1268/2018 du 15 février 2019 consid. 2.2).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L'appropriation est illégitime dès lors qu'elle dénote un comportement contraire à la volonté du propriétaire (ATF 129 IV 223 consid. 6.3 ; arrêt du Tribunal fédéral 6B_1056/2018 du 29 janvier 2019 consid. 2.3.1).</w:t>
      </w:r>
    </w:p>
    <w:p>
      <w:r>
        <w:rPr>
          <w:b/>
        </w:rPr>
        <w:t>E. 2.3</w:t>
      </w:r>
    </w:p>
    <w:p>
      <w:r>
        <w:t>En l'espèce, il n'est pas contesté que les motos ont été achetées par B______ et confiées à D______ afin qu'il les prépare pour être ensuite revendues par celui-là. S'agissant de la 5ème moto – F______/5______ –, restée en Espagne, seul son moteur avait été ramené en Suisse pour être monté sur une autre F______ (la 3ème). Faute pour cette 5ème moto d'avoir été confiée au mis en cause, on ne saurait retenir à son égard le soupçon de la commission d'un abus de confiance. Demeure la situation concernant les deux motos F______/1______ (1ère) et F______/3______ (3ème). Il ressort des éléments à la procédure que le mis en cause avait, selon ses propres déclarations, garé lesdites motos à différents endroits, choisis par ses soins, respectivement, sur la route des Jeunes et dans le box d'une personne de son entourage à la rue 6______. On ne peut dès lors exclure à ce stade sa volonté de se les approprier. Même à considérer qu'il s'estimait légitime à conserver les motos par- devers lui en compensation du non-paiement de son salaire, ce motif semble tomber</w:t>
      </w:r>
    </w:p>
    <w:p>
      <w:r>
        <w:t>- 8/9 - P/10958/2022 à faux, compte tenu de l'issue de la cause prud'homale le déboutant de ses prétentions salariales. Au surplus, contrairement à ce que le mis en cause allègue, à savoir que le matériel était à disposition des plaignants, l'indication de la localisation des biens, relativement vague, ne saurait permettre aux recourants de reprendre possession des motos. Cela s'avère d'autant plus vrai pour la seconde moto, qui se trouverait dans un local fermé appartenant à une tierce personne. Dans ces circonstances, il existe manifestement, à ce stade, une suspicion suffisante d'abus de confiance à l'endroit du mis en cause. Partant, l'ordonnance attaquée n'est pas justifiée en ce qui concerne le comportement reproché à D______ et la cause sera renvoyée au Ministère public pour qu'il complète éventuellement ses investigations sous l'angle de l'art. 138 CP et poursuive, le cas échéant, le mis en cause du chef de cette infraction</w:t>
      </w:r>
    </w:p>
    <w:p>
      <w:r>
        <w:rPr>
          <w:b/>
        </w:rPr>
        <w:t>E. 3</w:t>
      </w:r>
    </w:p>
    <w:p>
      <w:r>
        <w:t>Fondé, le recours sera admis, l'ordonnance querellée annulée sous cet angle et la cause renvoyée au Ministère public pour qu'il procède au sens des considérants.</w:t>
      </w:r>
    </w:p>
    <w:p>
      <w:r>
        <w:rPr>
          <w:b/>
        </w:rPr>
        <w:t>E. 4</w:t>
      </w:r>
    </w:p>
    <w:p>
      <w:r>
        <w:t>L'admission du recours ne donne pas lieu à la perception de frais (art. 428 al. 1 CPP). Les sûretés versées par les recourants leur seront restituées.</w:t>
      </w:r>
    </w:p>
    <w:p>
      <w:r>
        <w:rPr>
          <w:b/>
        </w:rPr>
        <w:t>E. 5</w:t>
      </w:r>
    </w:p>
    <w:p>
      <w:r>
        <w:t>Les recourants, parties plaignantes, qui ont gain de cause, ont demandé une indemnité de CHF 2'837.63 TTC pour leurs frais d'avocat, selon l'art. 433 CPP (applicable en instance de recours, art. 436 al. 1 CPP), correspondant à 7h30 de travail au tarif de CHF 350.-/heure, laquelle sera accordée, dès lors qu'elle paraît adéquate au vu de l'activité liée à l'écriture du recours. * * * * *</w:t>
      </w:r>
    </w:p>
    <w:p>
      <w:r>
        <w:t>- 9/9 - P/10958/2022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