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ACPR/724/2022 vom 2. Mai 2022</w:t>
      </w:r>
    </w:p>
    <w:p>
      <w:r>
        <w:t>GE Cour de justice, 2022-05-02, FR</w:t>
      </w:r>
    </w:p>
    <w:p>
      <w:r>
        <w:rPr>
          <w:b/>
        </w:rPr>
        <w:t xml:space="preserve">Quelle: </w:t>
      </w:r>
      <w:r>
        <w:t>https://mcp.opencaselaw.ch/entscheid/ge_gerichte_ACPR_724_2022</w:t>
      </w:r>
    </w:p>
    <w:p>
      <w:r>
        <w:t>FR: GE_GERICHTE ACPR/724/2022 du 2 mai 2022</w:t>
      </w:r>
    </w:p>
    <w:p>
      <w:r>
        <w:t>IT: GE_GERICHTE ACPR/724/2022 del 2 maggio 2022</w:t>
      </w:r>
    </w:p>
    <w:p>
      <w:pPr>
        <w:pStyle w:val="Heading2"/>
      </w:pPr>
      <w:r>
        <w:t>Erwägungen</w:t>
      </w:r>
    </w:p>
    <w:p>
      <w:r>
        <w:rPr>
          <w:b/>
        </w:rPr>
        <w:t>E. 1.1</w:t>
      </w:r>
    </w:p>
    <w:p>
      <w:r>
        <w:t>En dépit de l'abrogation de l'art. 3 let. a LaCP avec effet au 1er janvier 2017, le TAPEM est compétent pour connaître de l'opposition à une conversion d'amende prononcée par le SdC (art. 41 al. 1 LaCP), puisque le SdC est une autorité administrative, au sens de l'art. 17 al. 1 CPP (art. 11 al. 1 LaCP), qui est habilitée à prendre les décisions ultérieures (art. 363 al. 2 CPP), le TAPEM devant dans ce contexte appliquer la procédure des art. 363 à 365 CPP (ACPR/112/2019 du 8 février 2019 consid. 3.1). Le jugement rendu en cette matière par le TAPEM en application de l'art. 36 CP constitue une décision judiciaire indépendante (art. 363 CPP), laquelle est susceptible, au plan cantonal, d'un recours au sens de l'art. 393 al. 1 let. b CPP auprès de la Chambre de céans (arrêt du Tribunal fédéral 6B_293/2012 du 21 février 2013).</w:t>
      </w:r>
    </w:p>
    <w:p>
      <w:r>
        <w:rPr>
          <w:b/>
        </w:rPr>
        <w:t>E. 1.2</w:t>
      </w:r>
    </w:p>
    <w:p>
      <w:r>
        <w:t>En l'espèce, le recours est recevable, pour avoir été déposé selon la forme et dans le délai prescrits (art. 385 al. 1, 390 al. 1 et 396 al. 1 CPP), – les formalités de notification (art 85 al. 2 CPP) n'ayant pas été observées –, par le condamné, qui a un intérêt juridiquement protégé à l'annulation ou à la modification de la décision attaquée (art. 382 al. 1 CPP).</w:t>
      </w:r>
    </w:p>
    <w:p>
      <w:r>
        <w:rPr>
          <w:b/>
        </w:rPr>
        <w:t>E. 2</w:t>
      </w:r>
    </w:p>
    <w:p>
      <w:r>
        <w:t>Le recourant a demandé à pouvoir compléter son recours, voir à bénéficier d'une restitution de délai. Or, 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 ACPR/291/2013 du 24 juin 2013 ; Y. JEANNERET / A. KUHN / C. PERRIER DEPEURSINGE</w:t>
      </w:r>
    </w:p>
    <w:p>
      <w:r>
        <w:t>- 6/11 - PM/1357/2021 (éds), Commentaire romand : Code de procédure pénale suisse, 2ème éd., Bâle 2019, n. 3 ad art. 385). En l'espèce, l'acte daté du 23 mai 2022, soit dans le délai de recours – de sorte qu'une restitution de délai ne peut entrer en considération – est dûment motivé; ainsi, la demande est rejetée.</w:t>
      </w:r>
    </w:p>
    <w:p>
      <w:r>
        <w:rPr>
          <w:b/>
        </w:rPr>
        <w:t>E. 3</w:t>
      </w:r>
    </w:p>
    <w:p>
      <w:r>
        <w:t>Le recourant allègue la violation de son droit d'être entendu au motif qu'il n'aurait pas pu consulter le dossier au TAPEM ni au SdC.</w:t>
      </w:r>
    </w:p>
    <w:p>
      <w:r>
        <w:t>Cet allégué ne trouve pas de fondements dans le dossier dans la mesure où le SdC avait donné l'occasion au recourant de consulter la procédure, ce que l'intéressé n'a pas fait; il n'est pas non plus allé le consulter auprès du TAPEM dès qu'il a eu connaissance de la date de l'audience.</w:t>
      </w:r>
    </w:p>
    <w:p>
      <w:r>
        <w:t>L'intéressé disposait de cette même faculté auprès de la Chambre de céans qu'il n'a pas utilisée, ni spontanément, ni dans le délai fixé au 24 août 2022, ni après.</w:t>
      </w:r>
    </w:p>
    <w:p>
      <w:r>
        <w:rPr>
          <w:b/>
        </w:rPr>
        <w:t>E. 4</w:t>
      </w:r>
    </w:p>
    <w:p>
      <w:r>
        <w:t>Le recourant demande une audience de débats.</w:t>
      </w:r>
    </w:p>
    <w:p>
      <w:r>
        <w:rPr>
          <w:b/>
        </w:rPr>
        <w:t>E. 4.1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p. 219 et ATF 125 I 113 consid. 2a p. 115).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 ACPR/422/2012 du 14 octobre 2012).</w:t>
      </w:r>
    </w:p>
    <w:p>
      <w:r>
        <w:rPr>
          <w:b/>
        </w:rPr>
        <w:t>E. 4.2</w:t>
      </w:r>
    </w:p>
    <w:p>
      <w:r>
        <w:t>En l'occurrence, il est manifeste que le recourant a pu faire valoir ses griefs dans son recours. Ses droits ont ainsi été pleinement respectés et il n'y a pas lieu d'appointer d'audience débats. Il n’y a pas lieu non plus de le laisser compléter le recours, dès lors que son écriture comporte les points exigés par l’art. 385 al. 1 CPP. Il ne sera ainsi pas donné suite à ses conclusions préalables.</w:t>
      </w:r>
    </w:p>
    <w:p>
      <w:r>
        <w:rPr>
          <w:b/>
        </w:rPr>
        <w:t>E. 5</w:t>
      </w:r>
    </w:p>
    <w:p>
      <w:r>
        <w:t>Le recourant allègue un déni de justice et une constatation incomplète des faits.</w:t>
      </w:r>
    </w:p>
    <w:p>
      <w:r>
        <w:t>- 7/11 - PM/1357/2021 Aucun déni de justice ne peut être reproché au juge du TAPEM au motif qu'il n'aurait pas examiné les divers griefs ressortant de son courrier du 2 mai 2022. Le recourant n'étant pas présent à l'audience de jugement, le juge a statué sur la base du dossier et n'a eu connaissance du courrier susmentionné qu'après la reddition du jugement. D'autre part, dès lors que la Chambre de céans dispose d'un plein pouvoir de cognition en droit, en fait et en opportunité (art. 393 al. 2 CPP; ATF 137 I 195 consid. 2.3.2; arrêt du Tribunal fédéral 1B_524/2012 du 15 novembre 2012 consid. 2.1), les éventuelles constatations incomplètes ou inexactes du TAPEM auront été corrigées dans l'état de fait établi ci-avant. Partant, le grief y relatif sera rejeté.</w:t>
      </w:r>
    </w:p>
    <w:p>
      <w:r>
        <w:rPr>
          <w:b/>
        </w:rPr>
        <w:t>E. 6.1</w:t>
      </w:r>
    </w:p>
    <w:p>
      <w:r>
        <w:t>Selon l’art. 36 al. 1 CP, dans la mesure où le condamné ne paie pas la peine pécuniaire et que celle-ci est inexécutable par la voie de la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w:t>
      </w:r>
    </w:p>
    <w:p>
      <w:r>
        <w:t>Selon l'art. 36 al. 2 CP, si la peine pécuniaire est prononcée par une autorité administrative, un juge doit statuer sur la peine privative de liberté de substitution. À teneur de l'art. 106 al. 5 CP, les art. 35 et 36 CP sont applicables par analogie à l’exécution et à la conversion de l’amende. Dans la mesure où le Code pénal n’établit aucune base de calcul pour la conversion d’une amende en peine privative de liberté, la doctrine, se fondant d’une part sur le montant maximum de CHF 10'000.- de l’amende contraventionnelle fixé par l'art. 106 al. 1 CP, et d’autre part sur la durée maximale de la peine privative de liberté de substitution (art. 106 al. 2 CP), propose de retenir qu’une somme de CHF 100.- (CHF 111.- arrondis à un montant plus aisément utilisable) correspond à un jour de peine privative de liberté, et ainsi de suite par tranche de CHF 100.- (BÄNZIGER/HUBSCHMID/SOLLBERGER, Zur Revision des allgemeinen Teils des schweizerischen Strafrechts und zum neuen materiellen Jugendstrafrecht, Berne 2006, p. 83-84), arrondi au jour supérieur. Les art. 37 à 39 CP concernant le TIG ont été abrogés dès le 1er janvier 2018.</w:t>
      </w:r>
    </w:p>
    <w:p>
      <w:r>
        <w:rPr>
          <w:b/>
        </w:rPr>
        <w:t>E. 6.2</w:t>
      </w:r>
    </w:p>
    <w:p>
      <w:r>
        <w:t>En l'espèce, le recourant ne développe pas de critiques contre le jugement du TAPEM.</w:t>
      </w:r>
    </w:p>
    <w:p>
      <w:r>
        <w:t>- 8/11 - PM/1357/2021 Il déclare avoir reçu l'ordonnance pénale du 12 décembre 2019 à C______ et y avoir fait opposition.</w:t>
      </w:r>
    </w:p>
    <w:p>
      <w:r>
        <w:t>Or, il appartient au recourant de le prouver, ce qu'il ne fait pas. C'est ainsi à juste titre que le TAPEM a retenu que l'ordonnance pénale n'avait pas fait l'objet d'une opposition et était ainsi assimilée à un jugement devenu définitif et exécutoire.</w:t>
      </w:r>
    </w:p>
    <w:p>
      <w:r>
        <w:t>Cette autorité n'avait pas plus à s'interroger sur la prescription; l'infraction, à l'origine de l'amende a été commise le 13 avril 2018 et l'ordonnance pénale a été prononcée dans le délai de trois ans de la prescription de l'action pénale (art. 109 CP), ce que le SdC avait déjà précisé dans son ordonnance de conversion. C'est en outre, à bon droit, que le TAPEM a rappelé qu'il ne pouvait revoir le montant de l'amende fixé dans l'ordonnance pénale mais ne statuait que sur la validité de l'ordonnance pénale de conversion. Rien ne justifie donc de s'écarter du mode de calcul retenu (1 jour de peine privative correspondant à CHF 100.- d'amende). C'est à bon droit que le TAPEM a confirmé la conversion.</w:t>
      </w:r>
    </w:p>
    <w:p>
      <w:r>
        <w:rPr>
          <w:b/>
        </w:rPr>
        <w:t>E. 7</w:t>
      </w:r>
    </w:p>
    <w:p>
      <w:r>
        <w:t>Infondé, le recours doit être rejeté.</w:t>
      </w:r>
    </w:p>
    <w:p>
      <w:r>
        <w:rPr>
          <w:b/>
        </w:rPr>
        <w:t>E. 8</w:t>
      </w:r>
    </w:p>
    <w:p>
      <w:r>
        <w:t>Le recourant sollicite une défense d'office.</w:t>
      </w:r>
    </w:p>
    <w:p>
      <w:r>
        <w:rPr>
          <w:b/>
        </w:rPr>
        <w:t>E. 8.1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Doivent être considérées comme dépourvues de chances de succès, les demandes comportant des risques d'échec beaucoup plus importants que des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Le</w:t>
      </w:r>
    </w:p>
    <w:p>
      <w:r>
        <w:t>- 9/11 - PM/1357/2021 moment déterminant pour examiner si, dans le cas particulier, il existe suffisamment de chances de succès, est celui où la demande d'assistance juridique gratuite est formulée (ATF 128 I 225 consid. 2.5.3; 124 I 304 consid. 2c p. 306).</w:t>
      </w:r>
    </w:p>
    <w:p>
      <w:r>
        <w:rPr>
          <w:b/>
        </w:rPr>
        <w:t>E. 8.2</w:t>
      </w:r>
    </w:p>
    <w:p>
      <w:r>
        <w:t>En l'espèce, le recourant est vraisemblablement indigent. Quand bien même, il a été jugé ci-dessus que ses griefs étaient manifestement infondés; sa requête ne peut qu’être rejetée, pour les mêmes raisons que celles exposées au précédent considérant.</w:t>
      </w:r>
    </w:p>
    <w:p>
      <w:r>
        <w:rPr>
          <w:b/>
        </w:rPr>
        <w:t>E. 9</w:t>
      </w:r>
    </w:p>
    <w:p>
      <w:r>
        <w:t>Le recourant, qui succombe, supportera les frais envers l'État, y compris un émolument de décision de CHF 600.- (art. 428 al. 1 CPP et 13 al. 1 du Règlement fixant le tarif des frais en matière pénale, RTFMP ; E 4 10.03), la procédure de demande d'assistance juridique étant gratuite (art. 20 RAJ). * * * * *</w:t>
      </w:r>
    </w:p>
    <w:p>
      <w:r>
        <w:t>- 10/11 - PM/1357/2021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