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ACPR/723/2021 vom 17. September 2021</w:t>
      </w:r>
    </w:p>
    <w:p>
      <w:r>
        <w:t>GE Cour de justice, 2021-09-17, FR</w:t>
      </w:r>
    </w:p>
    <w:p>
      <w:r>
        <w:rPr>
          <w:b/>
        </w:rPr>
        <w:t xml:space="preserve">Quelle: </w:t>
      </w:r>
      <w:r>
        <w:t>https://mcp.opencaselaw.ch/entscheid/ge_gerichte_ACPR_723_2021</w:t>
      </w:r>
    </w:p>
    <w:p>
      <w:r>
        <w:t>FR: GE_GERICHTE ACPR/723/2021 du 17 septembre 2021</w:t>
      </w:r>
    </w:p>
    <w:p>
      <w:r>
        <w:t>IT: GE_GERICHTE ACPR/723/2021 del 17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considère qu'il ne devait pas s'attendre à recevoir des actes de procédure à la suite de son audition par la police.</w:t>
      </w:r>
    </w:p>
    <w:p>
      <w:r>
        <w:rPr>
          <w:b/>
        </w:rPr>
        <w:t>E. 3.1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3.2</w:t>
      </w:r>
    </w:p>
    <w:p>
      <w:r>
        <w:t>Une personne ne doit s'attendre à la remise d'un prononcé, au sens de la disposition précitée,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w:t>
      </w:r>
    </w:p>
    <w:p>
      <w:r>
        <w:t>- 4/6 - P/5693/2021 consid. 4 et 130 III 396 consid. 1.2.3; arrêt du Tribunal fédéral 6B_314/2012 du 18 février 2013 consid. 1.3.1).</w:t>
      </w:r>
    </w:p>
    <w:p>
      <w:r>
        <w:t>Ainsi, un justiciable doit s'attendre à une telle remise lorsqu'il est au courant qu'il fait l'objet d'une instruction pénale au sens de l'art. 309 CPP (arrêt du Tribunal fédéral 6B_934/2018 du 9 novembre 2018, consid. 2.1).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les références citées).</w:t>
      </w:r>
    </w:p>
    <w:p>
      <w:r>
        <w:rPr>
          <w:b/>
        </w:rPr>
        <w:t>E. 3.3</w:t>
      </w:r>
    </w:p>
    <w:p>
      <w:r>
        <w:t>De jurisprudence constante, celui qui se sait partie à une procédure judiciaire et qui doit dès lors s’attendre à recevoir notification d’actes du juge, est tenu de relever son courrier ou, s’il s’absente de son domicile, de prendre des dispositions pour que le courrier lui parvienne néanmoins.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Ch. DENYS, Ordonnance pénale : questions choisies et jurisprudence récente, in SJ 2016 II p. 125ss, p. 127).</w:t>
      </w:r>
    </w:p>
    <w:p>
      <w:r>
        <w:rPr>
          <w:b/>
        </w:rPr>
        <w:t>E. 3.4</w:t>
      </w:r>
    </w:p>
    <w:p>
      <w:r>
        <w:t>En l'espèce, le recourant a été entendu par la police le 24 janvier 2021, en qualité de prévenu, ce qui lui a été précisé à teneur du procès-verbal. Il a, par ailleurs signé le formulaire de "droits et obligations du prévenu", dans lequel il était expressément mentionné qu'il revêtait la qualité de prévenu. Le recourant a donc été dûment informé du fait qu'une procédure pénale avait été ouverte contre lui, information suffisante, à teneur des principes sus-visés, pour retenir qu'il devait, conformément à l'art. 85 al. 4 CPP, s'attendre à recevoir des actes ou correspondances en lien avec ladite procédure, même en l'absence d'ouverture préalable d'une instruction pénale par le Ministère public. La thèse soutenue par le recourant est dépassée.</w:t>
      </w:r>
    </w:p>
    <w:p>
      <w:r>
        <w:t>Il s'ensuit qu'il lui incombait de prendre les mesures nécessaires afin d'être atteint par toute notification éventuelle.</w:t>
      </w:r>
    </w:p>
    <w:p>
      <w:r>
        <w:t>L'ordonnance pénale ayant dès lors fictivement été notifiée à l'échéance du délai de garde postal, au 18 mai 2021, l'opposition formée le 5 août 2021, soit au-delà du délai de dix jours suivant la notification précitée (art. 354 al. 1 CPP), est tardive.</w:t>
      </w:r>
    </w:p>
    <w:p>
      <w:r>
        <w:t>- 5/6 - P/5693/2021</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