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ACPR/720/2019 vom 26. Februar 2019</w:t>
      </w:r>
    </w:p>
    <w:p>
      <w:r>
        <w:t>GE Cour de justice, 2019-02-26, FR</w:t>
      </w:r>
    </w:p>
    <w:p>
      <w:r>
        <w:rPr>
          <w:b/>
        </w:rPr>
        <w:t xml:space="preserve">Quelle: </w:t>
      </w:r>
      <w:r>
        <w:t>https://mcp.opencaselaw.ch/entscheid/ge_gerichte_ACPR_720_2019</w:t>
      </w:r>
    </w:p>
    <w:p>
      <w:r>
        <w:t>FR: GE_GERICHTE ACPR/720/2019 du 26 février 2019</w:t>
      </w:r>
    </w:p>
    <w:p>
      <w:r>
        <w:t>IT: GE_GERICHTE ACPR/720/2019 del 26 febbraio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La demande, dûment motivée, doit être adressée par écrit dans les 30 jours à compter de celui où l'empêchement a cessé, à l'autorité auprès de laquelle l'acte de procédure aurait dû être accompli (art. 94 al. 2 CPP).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 Doivent être pris en considération, pour déterminer si cette condition est remplie, l'époque à laquelle l'accident ou la maladie sont survenus ainsi que l'ampleur de l'atteinte à la santé (ATF 119 II 86 consid. 2a p. 87; 112 V 255 consid. 2a p. 255). D'après la jurisprudence, la maladie peut être un empêchement sans faute si elle empêche le plaideur ou son représentant d'agir dans le délai ou de constituer un représentant à cet effet. L'empêchement ne dure qu'aussi longtemps que l'intéressé n'est en mesure – en raison de son état physique ou mental – ni d'agir lui-même ni d'en charger un tiers. Encore faut-il, dans la seconde éventualité, que la maladie n'empêche pas l'intéressé de ressentir la nécessité d'une représentation. Dès que l'intéressé est objectivement et subjectivement en état d'agir lui-même ou de faire agir un tiers à sa place, l'empêchement cesse d'être exempt de faute au sens de la loi (ATF 119 II 86 précité, consid. 2a).</w:t>
      </w:r>
    </w:p>
    <w:p>
      <w:r>
        <w:t>- 5/6 - PS/13/2019 En effet,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139 IV 228 consid. 1.1).</w:t>
      </w:r>
    </w:p>
    <w:p>
      <w:r>
        <w:rPr>
          <w:b/>
        </w:rPr>
        <w:t>E. 2.2</w:t>
      </w:r>
    </w:p>
    <w:p>
      <w:r>
        <w:t>En l'espèce, la recourante établit, par l'attestation de son médecin psychiatre, qu'elle ne peut – en raison d'une "dépression sévère", selon elle, et pour "des raisons médicales", selon le praticien – s'occuper de manière optimale de ses affaires administratives. Elle allègue par ailleurs bénéficier désormais de l'aide d'un curateur. Reste donc à déterminer si, en février 2018, la recourante a été objectivement ou subjectivement empêchée de retirer le pli recommandé contenant l'ordonnance pénale, respectivement de former opposition à celle-ci. Au vu des éléments au dossier, on doit retenir que tel était le cas. Lors de la perquisition du domicile de la recourante, en janvier 2018, les gendarmes ont constaté que l'état de l'appartement était tel qu'un "rapport de détection" s'imposait pour protéger sa fille mineure. Le Tribunal de protection de l'adulte et de l'enfant a ensuite été saisi, et la recourante bénéficie, depuis avril 2018, de l'aide d'un curateur. Il a ainsi été rendu suffisamment vraisemblable que, au moment de la perquisition, en janvier 2018, et jusqu'à ce qu'une aide extérieure lui soit apportée – donc jusqu'à l'opposition tardive du 8 mai 2018 –, la recourante a été empêchée sans sa faute, en raison de son état de santé, de former opposition à l'ordonnance pénale du 20 février 2018, ainsi que de charger un tiers d'agir à sa place.</w:t>
      </w:r>
    </w:p>
    <w:p>
      <w:r>
        <w:rPr>
          <w:b/>
        </w:rPr>
        <w:t>E. 3</w:t>
      </w:r>
    </w:p>
    <w:p>
      <w:r>
        <w:t>Fondé, le recours doit être admis. Partant, l'ordonnance querellée sera annulée, le délai d'opposition à l'ordonnance pénale n. 1______ du 20 février 2018 restitué à la recourante et la cause retournée au SdC pour qu'il statue sur l'opposition.</w:t>
      </w:r>
    </w:p>
    <w:p>
      <w:r>
        <w:rPr>
          <w:b/>
        </w:rPr>
        <w:t>E. 4</w:t>
      </w:r>
    </w:p>
    <w:p>
      <w:r>
        <w:t>L'admission du recours ne donne pas lieu à la perception de frais (art. 428 al. 1 CPP).</w:t>
      </w:r>
    </w:p>
    <w:p>
      <w:r>
        <w:rPr>
          <w:b/>
        </w:rPr>
        <w:t>E. 5</w:t>
      </w:r>
    </w:p>
    <w:p>
      <w:r>
        <w:t>La recourante, qui agit en personne, ne justifie pas de frais devant être indemnisés (art. 429 al. 1 CPP) * * * * *</w:t>
      </w:r>
    </w:p>
    <w:p>
      <w:r>
        <w:t>- 6/6 - PS/13/2019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