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ACPR/71/2022 vom 4. Februar 2022</w:t>
      </w:r>
    </w:p>
    <w:p>
      <w:r>
        <w:t>GE Cour de justice, 2022-02-04, FR</w:t>
      </w:r>
    </w:p>
    <w:p>
      <w:r>
        <w:rPr>
          <w:b/>
        </w:rPr>
        <w:t xml:space="preserve">Quelle: </w:t>
      </w:r>
      <w:r>
        <w:t>https://mcp.opencaselaw.ch/entscheid/ge_gerichte_ACPR_71_2022</w:t>
      </w:r>
    </w:p>
    <w:p>
      <w:r>
        <w:t>FR: GE_GERICHTE ACPR/71/2022 du 4 février 2022</w:t>
      </w:r>
    </w:p>
    <w:p>
      <w:r>
        <w:t>IT: GE_GERICHTE ACPR/71/2022 del 4 febbraio 2022</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des prévenus, qui ont qualité pour agir, ayant un intérêt juridiquement protégé à ce qu'il soit statué sur leurs demandes tendant à la levée des séquestres ainsi qu'au classement de la procédure (art. 104 al. 1 let. a et 382 CPP). Partant, il est recevable.</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3e éd., Zurich 2011, n. 187).</w:t>
      </w:r>
    </w:p>
    <w:p>
      <w:r>
        <w:rPr>
          <w:b/>
        </w:rPr>
        <w:t>E. 2.2</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1B_590/2012 du 13 mars 2013 consid. 3.1).</w:t>
      </w:r>
    </w:p>
    <w:p>
      <w:r>
        <w:t>- 5/8 - P/6408/2020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2A_588/2006 du 19 avril 2007 consid. 2 et la référence à l'ATF 125 V 373 consid. 2b/aa p. 375 ; 6B_1066/2013 du 27 février 2014 consid. 1.1.2).</w:t>
      </w:r>
    </w:p>
    <w:p>
      <w:r>
        <w:rPr>
          <w:b/>
        </w:rPr>
        <w:t>E. 2.3</w:t>
      </w:r>
    </w:p>
    <w:p>
      <w:r>
        <w:t>En l'espèce, le Ministère public a ouvert quasi immédiatement une instruction à réception de la plainte pénale du 14 avril 2020 et procédé à des mesures urgentes, avant de déléguer l'audition des prévenus à la police, laquelle est intervenue le 24 septembre 2020. Si la première audience de confrontation des parties a certes été fixée plus de sept mois plus tard, le 30 avril 2021, force est de constater que le Ministère public a, dans l'intervalle, soit en mars et avril 2021, ordonné le dépôt de pièces bancaires et fiscales concernant les époux, ce qui démontre qu'il n'est pas resté inactif.</w:t>
      </w:r>
    </w:p>
    <w:p>
      <w:r>
        <w:t>- 6/8 - P/6408/2020 Il n'est pas contesté par les recourants que le Ministère a ensuite fait droit – dans des délais non problématiques – à leurs demandes de levée partielle du séquestre auprès de [la banque] F______ pour le règlement de factures en souffrance. Leurs autres courriers de juillet et septembre 2021, en tant qu'ils sollicitaient le classement de la procédure, n'appelaient aucune réaction particulière du Ministère public, ce d'autant que les prévenus avaient affirmé ne solliciter aucun acte d'instruction supplémentaire. Enfin, si la suite d'audience de confrontation a certes été convoquée le 6 décembre 2021 – soit postérieurement au dépôt du recours – au 21 janvier 2022, c'est-à-dire presque neuf mois après la première audience, on ne saurait reprocher au Ministère public une lenteur significative dans la conduite de son instruction, un tel laps de temps restant bien en-deça des limites à partir desquelles la jurisprudence considère que l'inactivité est choquante.</w:t>
      </w:r>
    </w:p>
    <w:p>
      <w:r>
        <w:rPr>
          <w:b/>
        </w:rPr>
        <w:t>E. 3</w:t>
      </w:r>
    </w:p>
    <w:p>
      <w:r>
        <w:t>Le recours, infondé, est dès lors rejeté.</w:t>
      </w:r>
    </w:p>
    <w:p>
      <w:r>
        <w:rPr>
          <w:b/>
        </w:rPr>
        <w:t>E. 4</w:t>
      </w:r>
    </w:p>
    <w:p>
      <w:r>
        <w:t>Les recourants, qui succombent, supporteront conjointement et solidairement les frais de la procédure envers l'État, qui comprennent un émolument de CHF 900.-, (art. 428 al. 1 CPP et 13 al. 1 du Règlement fixant le tarif des frais en matière pénale, RTFMP ; E 4 10.03). * * * * *</w:t>
      </w:r>
    </w:p>
    <w:p>
      <w:r>
        <w:t>- 7/8 - P/6408/2020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