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ACPR/717/2022 vom 25. April 2022</w:t>
      </w:r>
    </w:p>
    <w:p>
      <w:r>
        <w:t>GE Cour de justice, 2022-04-25, FR</w:t>
      </w:r>
    </w:p>
    <w:p>
      <w:r>
        <w:rPr>
          <w:b/>
        </w:rPr>
        <w:t xml:space="preserve">Quelle: </w:t>
      </w:r>
      <w:r>
        <w:t>https://mcp.opencaselaw.ch/entscheid/ge_gerichte_ACPR_717_2022</w:t>
      </w:r>
    </w:p>
    <w:p>
      <w:r>
        <w:t>FR: GE_GERICHTE ACPR/717/2022 du 25 avril 2022</w:t>
      </w:r>
    </w:p>
    <w:p>
      <w:r>
        <w:t>IT: GE_GERICHTE ACPR/717/2022 del 25 aprile 2022</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 6B_871/2014 du 24 août 2015 consid. 2.2.2 ; 6B_820/2011 du 5 mars 2012 consid. 3).</w:t>
      </w:r>
    </w:p>
    <w:p>
      <w:r>
        <w:rPr>
          <w:b/>
        </w:rPr>
        <w:t>E. 3</w:t>
      </w:r>
    </w:p>
    <w:p>
      <w:r>
        <w:t>Le recourant se prévaut – à bien le comprendre – de la violation de son droit d’être entendu, dès lors qu’il n’a pas été convoqué avant que l’ordonnance querellée soit rendue.</w:t>
      </w:r>
    </w:p>
    <w:p>
      <w:r>
        <w:rPr>
          <w:b/>
        </w:rPr>
        <w:t>E. 3.1</w:t>
      </w:r>
    </w:p>
    <w:p>
      <w:r>
        <w:t>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d'une pleine cognition en fait</w:t>
      </w:r>
    </w:p>
    <w:p>
      <w:r>
        <w:t>- 5/9 - P/19039/2021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 La décision visée par l'art. 310 al. 1 CPP n'est pas soumise à un délai (ACPR/372/2011 du 14 décembre 2011 ; Y. JEANNERET / A. KUHN / C. PERRIER DEPEURSINGE (éds), Commentaire romand : Code de procédure pénale suisse, 2ème éd., Bâle 2019, n. 4 ad art. 310).</w:t>
      </w:r>
    </w:p>
    <w:p>
      <w:r>
        <w:rPr>
          <w:b/>
        </w:rPr>
        <w:t>E. 3.2</w:t>
      </w:r>
    </w:p>
    <w:p>
      <w:r>
        <w:t>En espèce, la procédure n'ayant, en l'état, pas dépassé la phase des premières investigations, le Ministère public était dispensé d'entendre le recourant avant de prononcer l'ordonnance querellée. En tout état, ce dernier a pu faire valoir devant la Chambre de céans les arguments qu'il estimait pertinents, de sorte que son droit d'être entendu a été pleinement respecté. Partant, ce grief sera rejeté.</w:t>
      </w:r>
    </w:p>
    <w:p>
      <w:r>
        <w:rPr>
          <w:b/>
        </w:rPr>
        <w:t>E. 4</w:t>
      </w:r>
    </w:p>
    <w:p>
      <w:r>
        <w:t>Le recourant reproche au Ministère public de ne pas avoir retenu l’existence d’une menace, en omettant de convoquer un témoin et en se fondant sur un rapport de police « baclé ».</w:t>
      </w:r>
    </w:p>
    <w:p>
      <w:r>
        <w:rPr>
          <w:b/>
        </w:rPr>
        <w:t>E. 4.1</w:t>
      </w:r>
    </w:p>
    <w:p>
      <w:r>
        <w:t>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w:t>
      </w:r>
    </w:p>
    <w:p>
      <w:r>
        <w:rPr>
          <w:b/>
        </w:rPr>
        <w:t>E. 4.2</w:t>
      </w:r>
    </w:p>
    <w:p>
      <w:r>
        <w:t>À teneur de l'art. 139 al. 2 CPP, il n'y a pas lieu d'administrer des preuves sur des faits non pertinents, notoires, connus de l'autorité pénale ou déjà suffisamment prouvés.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p. 308 ; CourEDH Ubach Mortes Antoni c. Andorre du 4 mai 2000, § 2).</w:t>
      </w:r>
    </w:p>
    <w:p>
      <w:r>
        <w:rPr>
          <w:b/>
        </w:rPr>
        <w:t>E. 4.3</w:t>
      </w:r>
    </w:p>
    <w:p>
      <w:r>
        <w:t>Se rend coupable de menaces celui qui, par une menace grave, alarme ou effraie une personne. L'infraction est poursuivie sur plainte (art. 180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w:t>
      </w:r>
    </w:p>
    <w:p>
      <w:r>
        <w:rPr>
          <w:b/>
        </w:rPr>
        <w:t>E. 4.4</w:t>
      </w:r>
    </w:p>
    <w:p>
      <w:r>
        <w:t>En espèce, bien que les protagonistes confirment tous qu’une altercation verbale a eu lieu le soir des faits au sujet des bruits allégués, par le plaignant, dans l’appartement de B______, les versions du recourant et des autres protagonistes divergent. C______ nie avoir proféré des menaces, à l’égard du recourant. D’après les déclarations du témoin D______, C______ avait certes parlé avec celui-ci, mais ne l’avait pas menacé et n’avait pas prononcé les termes « si j’étais concerné, vous serez déjà enterré ». Selon elle, c’était le recourant qui se montrait agressif et pointait son doigt face à eux. Ces déclarations concordent avec celles de B______, qui a fait état</w:t>
      </w:r>
    </w:p>
    <w:p>
      <w:r>
        <w:t>- 7/9 - P/19039/2021 d’explications verbales entre le mis en cause et le recourant, sans confirmer l’existence de menaces. Dans ces circonstances, on ne voit pas quel autre acte d’enquête permettrait d’apporter des éléments probants. Le recourant déplore de ne pas avoir été convoqué pour identifier le mis en cause. Cela étant, s’il avait identifié C______ comme étant l’auteur des menaces alléguées, cela n’aurait rien changé, car l’intéressé nie avoir proféré des propos menaçants et les deux témoins confirment sa version. Dans l’hypothèse où le recourant n’aurait pas confirmé que C______ était l’auteur des propos litigieux, il ne serait pas possible d’identifier l’inconnu dont la seule description qu’il donne est la taille et la couleur de ses cheveux et de son blouson. De même, le recourant insiste sur le fait qu’une quatrième personne était présente, mais aucun des trois protagonistes ne le confirme, de sorte qu’il paraît très illusoire de pouvoir identifier cet autre témoin, s’il existe. Enfin, l’allégation selon laquelle l’appartement d’où venaient les bruits aurait été sous-loué plutôt que mis à la disposition de B______ par la locataire principale est exorbitante au litige et ne discrédite nullement le rapport établi par la police. Partant, c’est à bon droit que le Ministère public a refusé d’entrer en matière sur la plainte.</w:t>
      </w:r>
    </w:p>
    <w:p>
      <w:r>
        <w:rPr>
          <w:b/>
        </w:rPr>
        <w:t>E. 5</w:t>
      </w:r>
    </w:p>
    <w:p>
      <w:r>
        <w:t>Justifiée, l'ordonnance querellée sera donc confirmée.</w:t>
      </w:r>
    </w:p>
    <w:p>
      <w:r>
        <w:rPr>
          <w:b/>
        </w:rPr>
        <w:t>E. 6</w:t>
      </w:r>
    </w:p>
    <w:p>
      <w:r>
        <w:t>Le recourant, qui succombe, supportera les frais envers l'État (art. 428 al. 1 CPP et 13 al. 1 du Règlement fixant le tarif des frais en matière pénale, RTFMP ; E 4 10.03), fixés en totalité à CHF 800.-, émolument de décision compris. * * * * *</w:t>
      </w:r>
    </w:p>
    <w:p>
      <w:r>
        <w:t>- 8/9 - P/19039/2021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