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ACPR/717/2021 vom 21. September 2021</w:t>
      </w:r>
    </w:p>
    <w:p>
      <w:r>
        <w:t>GE Cour de justice, 2021-09-21, FR</w:t>
      </w:r>
    </w:p>
    <w:p>
      <w:r>
        <w:rPr>
          <w:b/>
        </w:rPr>
        <w:t xml:space="preserve">Quelle: </w:t>
      </w:r>
      <w:r>
        <w:t>https://mcp.opencaselaw.ch/entscheid/ge_gerichte_ACPR_717_2021</w:t>
      </w:r>
    </w:p>
    <w:p>
      <w:r>
        <w:t>FR: GE_GERICHTE ACPR/717/2021 du 21 septembre 2021</w:t>
      </w:r>
    </w:p>
    <w:p>
      <w:r>
        <w:t>IT: GE_GERICHTE ACPR/717/2021 del 21 settembre 2021</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à temps auprès d’une autorité incompétente, qui l’a diligemment transmis à la Chambre de céans (art. 91 al. 4 et 396 al. 1 CPP CPP), et selon la forme prescrite (art. 385 al. 1 et 390 al. 1 CPP). Le recourant, condamné, a 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w:t>
      </w:r>
    </w:p>
    <w:p>
      <w:r>
        <w:t>- 4/7 - PM/936/2021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2.2</w:t>
      </w:r>
    </w:p>
    <w:p>
      <w:r>
        <w:t>En l'espèce, l'appréciation émise par le premier juge ne souffre pas de critique. Les critères qu'il a retenus et appliqués sont pertinents. Il peut y être renvoyé sans autre, car le recourant se contente d'exprimer son incompréhension et de lancer un projet d'accueil à sa sortie de prison qui ne correspond plus à celui de sa demande de libération – et qu'il n'étaye pas davantage que le précédent –. Cet élément est déterminant, à lui seul, pour juger du mérite de son recours. Les préavis de la CED et du SAPEM insistent sur la nécessité de protéger l'ex-femme du recourant et ses enfants, mais, parmi les infractions (passées ou en cours d'exécution) auxquelles se réfèrent ces autorités de façon globale, seules deux – les injures et voies de faits dont le recourant a été déclaré coupable le 16 décembre 2020 – ont eu pour cadre ou pour victime(s) l'unité familiale. Comme ces infractions n'ont</w:t>
      </w:r>
    </w:p>
    <w:p>
      <w:r>
        <w:t>- 5/7 - PM/936/2021 pas le degré de pénalité le plus élevé du Code pénal et qu'elles sont survenues un même jour, le juge de la libération conditionnelle n'a pas à intervenir dans les relations intra-familiales de façon plus incisive que ne l'a fait, de son côté, le juge du divorce. C'est bien l'absence de projet de sortie, sérieux, étayé et vérifiable, qui laisse craindre un risque de récidive d'infractions, spécialement contre le patrimoine.</w:t>
      </w:r>
    </w:p>
    <w:p>
      <w:r>
        <w:rPr>
          <w:b/>
        </w:rPr>
        <w:t>E. 3</w:t>
      </w:r>
    </w:p>
    <w:p>
      <w:r>
        <w:t>Le recours s'avère manifestement mal fondé et pouvait, comme tel, être traité d'emblée sans échange d'écritures ni débats (art. 390 al. 2 et 5 a contrario CPP).</w:t>
      </w:r>
    </w:p>
    <w:p>
      <w:r>
        <w:rPr>
          <w:b/>
        </w:rPr>
        <w:t>E. 4</w:t>
      </w:r>
    </w:p>
    <w:p>
      <w:r>
        <w:t>Le recourant, parce qu'il n'a pas gain de cause, supportera les frais envers l'État, qui seront fixés en totalité à CHF 800.- (art. 428 al. 1 CPP et 13 al. 1 du Règlement fixant le tarif des frais en matière pénale, RTFMP; E 4 10.03). * * * * *</w:t>
      </w:r>
    </w:p>
    <w:p>
      <w:r>
        <w:t>- 6/7 - PM/936/2021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