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ACPR/717/2018 vom 12. September 2018</w:t>
      </w:r>
    </w:p>
    <w:p>
      <w:r>
        <w:t>GE Cour de justice, 2018-09-12, FR</w:t>
      </w:r>
    </w:p>
    <w:p>
      <w:r>
        <w:rPr>
          <w:b/>
        </w:rPr>
        <w:t xml:space="preserve">Quelle: </w:t>
      </w:r>
      <w:r>
        <w:t>https://mcp.opencaselaw.ch/entscheid/ge_gerichte_ACPR_717_2018</w:t>
      </w:r>
    </w:p>
    <w:p>
      <w:r>
        <w:t>FR: GE_GERICHTE ACPR/717/2018 du 12 septembre 2018</w:t>
      </w:r>
    </w:p>
    <w:p>
      <w:r>
        <w:t>IT: GE_GERICHTE ACPR/717/2018 del 12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de ne pas avoir retenu que les conditions d'octroi d'une défense d'office étaient en l'espèce réalisées.</w:t>
      </w:r>
    </w:p>
    <w:p>
      <w:r>
        <w:rPr>
          <w:b/>
        </w:rPr>
        <w:t>E. 2.1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Pour décider de l'intensité de la gravité d'un cas donné, le juge ne doit pas se référer à la peine théorique maximale applicable aux infractions reprochées au prévenu, mais à celle qui pourrait raisonnablement être prononcée en fonction des circonstances concrètes de la procédure (ATF 120 Ia 43 consid 2b; arrêt 1P_627/2002 du 4 mars 2003 consid. 3.1 reproduit in Pra 2004 n° 1 p. 4).</w:t>
      </w:r>
    </w:p>
    <w:p>
      <w:r>
        <w:rPr>
          <w:b/>
        </w:rPr>
        <w:t>E. 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t>- 5/7 - P/12291/2018</w:t>
      </w:r>
    </w:p>
    <w:p>
      <w:r>
        <w:rPr>
          <w:b/>
        </w:rPr>
        <w:t>E. 2.3</w:t>
      </w:r>
    </w:p>
    <w:p>
      <w:r>
        <w:t>À teneur de l'art. 115 al. 1 LÉtr est puni d'une peine privative de liberté d'un an au plus ou d'une peine pécuniaire quiconque contrevient aux dispositions sur l'entrée en Suisse (let. a) ou séjourne illégalement en Suisse, notamment après l'expiration de la durée du séjour non soumis à autorisation ou du séjour autorisé (let. b). Le Tribunal fédéral a précisé que l'art. 115 al. 1 let. b LEtr doit être interprété conformément à la jurisprudence de la Cour de justice de l'Union européenne (CJUE) en rapport avec la Directive sur le retour. Cette dernière poursuit la mise en place d'une politique efficace d'éloignement et de rapatriement fondée sur des normes communes, afin que les personnes concernées soient rapatriées de façon humaine et dans le respect intégral de leurs droits fondamentaux ainsi que leur dignité.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 retour. La Cour de justice de l'Union européenne a toutefois souligné que les ressortissants étrangers ayant, outre le séjour irrégulier, commis un ou plusieurs autres délits pouvaient, dans les hypothèses visées par l'art. 2 par. 2 let. b de la Directive sur le retour, c'est-à-dire en cas d'expulsion judiciaire prononcée comme sanction pénale ou de procédure d'extradition, être soustraits au champ d'application de ladite directive (arrêts du Tribunal fédéral 6B_196/2012 du 24 janvier 2013 consid. 2.1.1 ; 6B_320/2013 du 29 août 2013 consid. 3.2 et les références citées). Le séjour illégal est un délit continu (ATF 135 IV 6 consid. 3.2 p. 9; arrêt du Tribunal fédéral 6B_196/2012 du 24 janvier 2013 consid. 1.2).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En vertu du principe de la culpabilité sur lequel repose le droit pénal, les peines prononcées dans plusieurs procédures pénales en raison de l'effet de césure ne peuvent dépasser la peine maximale prévue par la loi pour l'infraction en question (ATF 135 IV 6 consid. 4.2 p. 11).</w:t>
      </w:r>
    </w:p>
    <w:p>
      <w:r>
        <w:rPr>
          <w:b/>
        </w:rPr>
        <w:t>E. 2.4</w:t>
      </w:r>
    </w:p>
    <w:p>
      <w:r>
        <w:t>En l'espèce, le prévenu étant manifestement indigent, ce que le Ministère public ne conteste pas, il reste à déterminer si l'assistance d'un défenseur était justifiée pour sauvegarder les intérêts du recourant. Lorsque le recourant a sollicité la nomination d'un défenseur d'office, le Ministère public venait de le condamner à un total de 150 jours de peine privative de liberté par deux ordonnances pénales. La condition du cas grave au sens de l'art. 132 al. 3 CPP était dès lors réalisée. Il y a encore lieu de déterminer le critère de la complexité de cause. Si à l'évidence le principe de l'unité de la procédure conduit à la jonction des causes, le recourant, en</w:t>
      </w:r>
    </w:p>
    <w:p>
      <w:r>
        <w:t>- 6/7 - P/12291/2018 l'occurrence, avait été condamné par des ordonnances prononcées successivement par deux procureurs sans que la seconde cause ait été attribuée au premier. On peut ainsi admettre que c'est à la suite de l'intervention de son conseil le 6 août 2018 que la jonction des procédures a été ordonnée et la peine revue à la baisse. Le recourant a, depuis 2016, été condamné pour séjour illégal à plusieurs reprises, à des peines pécuniaires dont le cumul a atteint 310 unités selon le Procureur. Or, on ne saurait attendre d'un plaideur en personne qu'il appréhende, seul, les subtilités qu'engendre l'existence de procédures pénales parallèles, pour des faits similaires, devant plusieurs juridictions. En outre, compte tenu de la multiplicité des procédures pour séjour illégal dont il a fait l'objet, l'applicabilité de la jurisprudence du Tribunal fédéral sur le délit continu en matière de LÉtr, voire de la Directive sur le retour, pouvait présenter ici objectivement des difficultés que le précité, dénué de toute formation juridique, ne serait pas en mesure de surmonter seul et qui serait susceptible d'influer la quotité de la peine à prononcer (cf. ACPR/738/2016 du 17 novembre 2016). Il en résulte que la cause présente une certaine complexité sur le plan juridique que le recourant ne peut surmonter sans l'aide d'un défenseur, ce qui justifie la nomination d'un avocat d'office. Il s'ensuit que les conditions de l'art. 132 al. 1 let. b et al. 2 CPP sont réalisées. Fondé, le recours doit être admis ; partant, l'ordonnance querellée sera annulée. La Chambre de céans, en application de l'art. 397 al. 2 CPP, rendra une nouvelle décision par laquelle elle désignera, avec effet au 6 août 2018, Me B______ comme défenseur d'office du prévenu pour la présente procédure, aucun motif ne s'opposant à la nomination du défenseur que le recourant s'est choisi.</w:t>
      </w:r>
    </w:p>
    <w:p>
      <w:r>
        <w:rPr>
          <w:b/>
        </w:rPr>
        <w:t>E. 3</w:t>
      </w:r>
    </w:p>
    <w:p>
      <w:r>
        <w:t>L'admission du recours ne donne pas lieu à la perception de frais (art. 428 al. 1 CPP).</w:t>
      </w:r>
    </w:p>
    <w:p>
      <w:r>
        <w:rPr>
          <w:b/>
        </w:rPr>
        <w:t>E. 4</w:t>
      </w:r>
    </w:p>
    <w:p>
      <w:r>
        <w:t>Le recourant, qui obtient gain de cause, a demandé une indemnité pour les frais relatifs au présent recours. Il n'y a toutefois pas lieu d'indemniser à ce stade le défenseur d'office (art. 135 al. 2 CPP). Selon l'art. 16 al. 1 RAJ, l'indemnité due à l'avocat et au défenseur d'office en matière pénale est calculée selon le tarif horaire pour un chef d'étude à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 En l'occurrence, le conseil d'office fait valoir 4h25 d'activité pour le recours qui paraissent raisonnables. L'indemnité sera ainsi accordée au tarif de CHF 200.-, plus TVA de 7.7%, soit CHF 951.-.</w:t>
      </w:r>
    </w:p>
    <w:p>
      <w:r>
        <w:t>- 7/7 - P/12291/2018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