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ACPR/716/2025 vom 12. August 2025</w:t>
      </w:r>
    </w:p>
    <w:p>
      <w:r>
        <w:t>GE Cour de justice, 2025-08-12, FR</w:t>
      </w:r>
    </w:p>
    <w:p>
      <w:r>
        <w:rPr>
          <w:b/>
        </w:rPr>
        <w:t xml:space="preserve">Quelle: </w:t>
      </w:r>
      <w:r>
        <w:t>https://mcp.opencaselaw.ch/entscheid/ge_gerichte_ACPR_716_2025</w:t>
      </w:r>
    </w:p>
    <w:p>
      <w:r>
        <w:t>FR: GE_GERICHTE ACPR/716/2025 du 12 août 2025</w:t>
      </w:r>
    </w:p>
    <w:p>
      <w:r>
        <w:t>IT: GE_GERICHTE ACPR/716/2025 del 12 agosto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sont également recevables (arrêt du Tribunal fédéral 1B_550/2022 du 17 novembre 2022 consid. 2).</w:t>
      </w:r>
    </w:p>
    <w:p>
      <w:r>
        <w:rPr>
          <w:b/>
        </w:rPr>
        <w:t>E. 2</w:t>
      </w:r>
    </w:p>
    <w:p>
      <w:r>
        <w:t>Le recourant se plaint d'une constatation incomplète des faits. Comme la juridiction de céans dispose d'un plein pouvoir de cognition (art. 393 al. 2 CPP), les éventuelles lacunes/inexactitudes entachant l’ordonnance querellée auront été corrigées dans l'état de fait établi ci-avant. Le grief sera donc rejeté.</w:t>
      </w:r>
    </w:p>
    <w:p>
      <w:r>
        <w:rPr>
          <w:b/>
        </w:rPr>
        <w:t>E. 3</w:t>
      </w:r>
    </w:p>
    <w:p>
      <w:r>
        <w:t>Le recourant ne conteste pas l'existence de charges suffisantes et graves, au sens de l'art. 221 al. 1 CPP, de sorte qu'il peut être renvoyé, en tant que de besoin, à la motivation adoptée par le premier juge (art 82 al. 4 CPP; ACPR/747/2020 du 22 octobre 2020 consid. 2 et les références), qui expose les indices graves et concordants pesant sur le prévenu.</w:t>
      </w:r>
    </w:p>
    <w:p>
      <w:r>
        <w:rPr>
          <w:b/>
        </w:rPr>
        <w:t>E. 4</w:t>
      </w:r>
    </w:p>
    <w:p>
      <w:r>
        <w:t>Le recourant conteste un risque de réitération.</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w:t>
      </w:r>
    </w:p>
    <w:p>
      <w:r>
        <w:t>- 12/18 - P/19369/2024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w:t>
      </w:r>
    </w:p>
    <w:p>
      <w:r>
        <w:rPr>
          <w:b/>
        </w:rPr>
        <w:t>E. 4.3</w:t>
      </w:r>
    </w:p>
    <w:p>
      <w:r>
        <w:t>En l'espèce, comme retenu à juste titre par le TMC dans son ordonnance du 10 mars 2025, contre laquelle le recourant n'a pas recouru, il existe un risque de réitération tangible de la commission de nouveaux actes mettant en péril l'intégrité psychique et sexuelle de mineures ou de jeunes femmes adultes, considérant les faits – et leur répétition, à l'encontre de plusieurs victimes sur des années – dont le prévenu est fortement suspecté dans le cadre de la présente affaire. S'y ajoutent ses condamnations par le Tribunal des mineurs les 20 juillet 2021 et 18 juillet 2022 pour des faits spécifiques, intervenus pour partie de manière concomitante avec ceux dénoncés dans la présente procédure, mais également en amont et au-delà, dans la mesure où ils ont persisté à tout le moins jusqu'en septembre 2024 (plainte de I______), étant rappelé que le recourant a été arrêté le 28 novembre 2024. Les agissements pour lesquels il est prévenu sont de plus pour partie intervenus alors même qu'il était astreint à un traitement ambulatoire tel qu'ordonné par le Tribunal des mineurs, traitement ambulatoire qui, s'il a été levé à compter du 31 mars 2022 en lien avec la condamnation du 20 juillet 2021, ne l'a pas été à la suite de la condamnation du mois de juillet 2022. Le 28 novembre 2024, le recourant a déclaré qu'il avait consulté un psychiatre de décembre 2022 à juin 2023 car il y était "contraint, c'était une sanction". Il en était ressorti qu'il avait compris ses erreurs et ne devait forcer personne à quoi que ce soit. Les faits dénoncés dans la présente procédure démontreraient le contraire.</w:t>
      </w:r>
    </w:p>
    <w:p>
      <w:r>
        <w:t>- 13/18 - P/19369/2024 Avant son entrée en détention, le recourant était sans amis, sans occupation autre que des jeux en ligne et ses échanges sur les réseaux sociaux, sans travail (bien qu'il eût obtenu un CFC d'employé de commerce au début de l'année 2024) et au bénéfice de l'aide de l'Hospice général depuis le mois de juillet 2024. Au vu de ces éléments, ses engagements de rechercher une activité professionnelle et de poursuivre à l'extérieur un traitement psychothérapeutique, qu'il démontre désormais avoir, le 12 août 2025, initié en prison, ou encore de ne plus aller sur les réseaux sociaux, faute de détenir les appareils de télécommunication lui permettant de le faire ainsi que de vouloir entreprendre une formation en anglais, en informatique et comptabilité ne suffisent pas à renverser le constat selon lequel le risque de réitération est patent. Sa sortie de détention provisoire est nullement préparée et il ne suffit à cet égard pas de proposer des mesures de substitution – une interdiction d'entrer en contact, par voie de télécommunication, avec toute autre personne que son cercle familial et une obligation de suivis thérapeutique et social – alors même qu'aucune démarche n'a, à teneur du dossier, été concrètement entreprise hors les murs de la prison pour de tels suivis. Si la demande récente du recourant de suivre une formation, sans que l'on sache si cette formation, qui en est, selon le SRSP, au stade de "projet actuellement à l'étude", se donnerait au sein de la prison ou à l'extérieur, est louable, une telle formation ne consiste pas encore en une offre de travail à sa sortie de prison. Par ailleurs, et comme justement relevé par le Ministère public, les regrets exprimés le</w:t>
      </w:r>
    </w:p>
    <w:p>
      <w:r>
        <w:rPr>
          <w:b/>
        </w:rPr>
        <w:t>E. 5</w:t>
      </w:r>
    </w:p>
    <w:p>
      <w:r>
        <w:t>Le recourant conteste tout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t>- 14/18 - P/19369/2024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le risque de collusion demeure tangible. Quand bien même il semble désormais que l'intégralité des appareils électroniques saisis aurait été analysée et que l'enquête ait permis d'identifier les jeunes filles au détriment desquelles le recourant semble avoir agi, dont la plupart ont été entendues par la police (l'une encore mineure, selon le protocole EVIG) et une seule, en sus, par le Ministère public, il n'en demeure pas moins qu'au vu des pressions et menaces dénoncées et de la fragilité de certaines de ces jeunes filles, notamment à la suite du comportement reproché au recourant, il convient absolument d'éviter que ce dernier ne tente de les contacter et de les influencer, et ne compromette ainsi la manifestation de la vérité. À cet égard, un engagement de ne plus faire usage des réseaux sociaux pour chercher à entrer en contact avec elles et une interdiction dans ce sens – alors que le recourant, aux dires de certaines victimes, ce qui ressort aussi de messages, une fois bloqué par ses interlocutrices, passait par d'autres applications en faisant usage de pseudonymes – s'avère illusoire et serait au demeurant difficilement contrôlable. Il n'existe ainsi en l'état aucune mesure de substitution apte à pallier le risque de collusion.</w:t>
      </w:r>
    </w:p>
    <w:p>
      <w:r>
        <w:rPr>
          <w:b/>
        </w:rPr>
        <w:t>E. 6</w:t>
      </w:r>
    </w:p>
    <w:p>
      <w:r>
        <w:t>Le recourant conteste subsidiairement la durée de la prolongation de sa détention provisoire.</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w:t>
      </w:r>
    </w:p>
    <w:p>
      <w:r>
        <w:t>- 15/18 - P/19369/2024 1B_624/2011 du 29 novembre 2011 consid. 3.1 et 1B_9/2011 du 7 février 2011 consid. 7.2).</w:t>
      </w:r>
    </w:p>
    <w:p>
      <w:r>
        <w:rPr>
          <w:b/>
        </w:rPr>
        <w:t>E. 6.2</w:t>
      </w:r>
    </w:p>
    <w:p>
      <w:r>
        <w:t>En l'espèce, le recourant est détenu depuis le 28 novembre 2024. La nature des faits qui lui sont reprochés a nécessité nombre d'actes d'enquête, en particulier de la police, pour tendre à circonscrire leur ampleur. Les recherches ont été rendues d'autant plus difficiles que les personnes concernées, dont le recourant, font usage de – multiples le concernant – pseudonymes dans leurs échanges sur les réseaux sociaux. La police a aussi cherché assidûment à procéder à l'audition de jeunes filles finalement identifiées. Le Ministère public, de son côté, a tenu les audiences de confrontation nécessaires dès qu'il disposait d'éléments – procès-verbaux d'auditions devant la police, résultat d'analyses des appareils électroniques – auxquels confronter le recourant. Il a aussi, comme la police, cherché à entendre des jeunes filles qui n'ont pas toutes déféré à ses convocations. On ne voit ainsi pas en quoi le principe de célérité – qui n'est au demeurant pas l'objet de la présente procédure – aurait été violé par le Ministère public. Ce dernier indique désormais vouloir procéder à l'audition du recourant le 10 septembre 2025, à la clôture de l'instruction et au renvoi du recourant en jugement. S'y ajoute la question de la réalisation d'une expertise psychiatrique (cf. consid. 3.3.). Dans cette mesure, une prolongation de la détention provisoire au 10 novembre 2025 s'avère proportionnée.</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w:t>
      </w:r>
    </w:p>
    <w:p>
      <w:r>
        <w:t>- 16/18 - P/19369/2024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s'agissant d'un premier contrôle par la Chambre de céans. L'indemnité du défenseur d'office sera fixée à la fin de la procédure (art. 135 al. 2 CPP). * * * * *</w:t>
      </w:r>
    </w:p>
    <w:p>
      <w:r>
        <w:t>- 17/18 - P/19369/2024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