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ACPR/716/2024 vom 19. September 2024</w:t>
      </w:r>
    </w:p>
    <w:p>
      <w:r>
        <w:t>GE Cour de justice, 2024-09-19, FR</w:t>
      </w:r>
    </w:p>
    <w:p>
      <w:r>
        <w:rPr>
          <w:b/>
        </w:rPr>
        <w:t xml:space="preserve">Quelle: </w:t>
      </w:r>
      <w:r>
        <w:t>https://mcp.opencaselaw.ch/entscheid/ge_gerichte_ACPR_716_2024</w:t>
      </w:r>
    </w:p>
    <w:p>
      <w:r>
        <w:t>FR: GE_GERICHTE ACPR/716/2024 du 19 septembre 2024</w:t>
      </w:r>
    </w:p>
    <w:p>
      <w:r>
        <w:t>IT: GE_GERICHTE ACPR/716/2024 del 19 settembre 2024</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b CPP) et émaner du contrevenant qui, partie à la procédure (art. 104 al. 1 let. a et 111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w:t>
      </w:r>
    </w:p>
    <w:p>
      <w:r>
        <w:t>- 4/6 - P/21012/2024 L. MOREILLON / A. PAREIN-REYMOND, Petit Commentaire du CPP, 2e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w:t>
      </w:r>
    </w:p>
    <w:p>
      <w:r>
        <w:rPr>
          <w:b/>
        </w:rPr>
        <w:t>E. 3.5</w:t>
      </w:r>
    </w:p>
    <w:p>
      <w:r>
        <w:t>En l'espèce, quand bien même le recourant serait indigent, les autres conditions pour l'octroi de la défense d'office ne sont de toute manière pas réalisées compte tenu de ce qui suit. L'ordonnance pénale du 8 mai 2023 l'a condamné à une amende. La nature contraventionnelle de cette sanction permet déjà de considérer que la cause ne présente pas de gravité suffisante au regard du seuil légal et s'inscrit plutôt parmi les cas dits "bagatelles". De surcroît, les faits reprochés sont simples et circonscrits. Le recourant a, d'ailleurs, pu s'exprimer à leur sujet à la police, en français et sans interprète. Les normes pénales concernées ne présentent pas de réelle difficulté de compréhension ou d'application, même pour une personne sans formation juridique. Il ressort d'ailleurs des réponses du recourant, lors de son contrôle par la police, qu'il a parfaitement</w:t>
      </w:r>
    </w:p>
    <w:p>
      <w:r>
        <w:t>- 5/6 - P/21012/2024 compris les enjeux du comportement incriminé en rejetant la responsabilité sur son employeur. La nature contraventionnelle de l'infraction en cause permet de nuancer les éventuels effets négatifs qui en résulteraient pour le recourant sous l'angle de son activité de chauffeur professionnel. Le recourant n'allègue du reste aucune conséquence négative concrète liée à l'amende infligée, hormis son montant, qu'il juge élevé. On ne voit ainsi pas ce qui l'empêchera, le cas échéant, de plaider, seul, ses arguments à cet égard devant le juge du fond. En définitive, la cause est de peu de gravité et ne présente pas de difficultés particulières nécessitant l'intervention d'un avocat. L'une des conditions de l'art. 132 al. 1 let. b CPP n'est dès lors pas réunie et la défense d'office du recourant pouvait être refusée par le Tribunal de police.</w:t>
      </w:r>
    </w:p>
    <w:p>
      <w:r>
        <w:rPr>
          <w:b/>
        </w:rPr>
        <w:t>E. 4</w:t>
      </w:r>
    </w:p>
    <w:p>
      <w:r>
        <w:t>La demande d'un interprète devant le Tribunal de police excède le cadre du présent litige, circonscrit au seul refus d'une défense d'office.</w:t>
      </w:r>
    </w:p>
    <w:p>
      <w:r>
        <w:rPr>
          <w:b/>
        </w:rPr>
        <w:t>E. 5</w:t>
      </w:r>
    </w:p>
    <w:p>
      <w:r>
        <w:t>Le recours sera rejeté.</w:t>
      </w:r>
    </w:p>
    <w:p>
      <w:r>
        <w:rPr>
          <w:b/>
        </w:rPr>
        <w:t>E. 6</w:t>
      </w:r>
    </w:p>
    <w:p>
      <w:r>
        <w:t>La procédure de recours contre le refus de l'octroi de l'assistance juridique ne donne pas lieu à la perception de frais (art. 20 RAJ). * * * * *</w:t>
      </w:r>
    </w:p>
    <w:p>
      <w:r>
        <w:t>- 6/6 - P/21012/2024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