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ACPR/716/2020 vom 19. Mai 2020</w:t>
      </w:r>
    </w:p>
    <w:p>
      <w:r>
        <w:t>GE Cour de justice, 2020-05-19, FR</w:t>
      </w:r>
    </w:p>
    <w:p>
      <w:r>
        <w:rPr>
          <w:b/>
        </w:rPr>
        <w:t xml:space="preserve">Quelle: </w:t>
      </w:r>
      <w:r>
        <w:t>https://mcp.opencaselaw.ch/entscheid/ge_gerichte_ACPR_716_2020</w:t>
      </w:r>
    </w:p>
    <w:p>
      <w:r>
        <w:t>FR: GE_GERICHTE ACPR/716/2020 du 19 mai 2020</w:t>
      </w:r>
    </w:p>
    <w:p>
      <w:r>
        <w:t>IT: GE_GERICHTE ACPR/716/2020 del 19 maggio 2020</w:t>
      </w:r>
    </w:p>
    <w:p>
      <w:pPr>
        <w:pStyle w:val="Heading2"/>
      </w:pPr>
      <w:r>
        <w:t>Erwägungen</w:t>
      </w:r>
    </w:p>
    <w:p>
      <w:r>
        <w:rPr>
          <w:b/>
        </w:rPr>
        <w:t>E. 1</w:t>
      </w:r>
    </w:p>
    <w:p>
      <w:r>
        <w:t>Le recourant invoque une violation de l'art. 17 RTSP, à teneur duquel tout acte de nature à troubler la tranquillité nocturne, notamment le repos des habitants, est interdit entre 21h. et 7h. L'art. 17 RTSP a été édicté sur le fondement de l'art. 11D de la loi pénale genevoise (LPG; E 4 05), qui réprime (d'office) d'une amende (al. 1) les troubles à la tranquillité publique. Il s'agit donc d'une infraction au droit cantonal. Le CPP est applicable à la poursuite et au jugement de telles infractions (art. 8 LaCP). En tant que lésé directement touché par les bruits dont il se plaint (art. 115 al. 1 CPP), le recourant a un intérêt juridiquement protégé (art. 382 al. 1 CPP) à ce qu'il soit entré en matière sur sa plainte, quand bien même il n'apparaît pas s'être formellement constitué partie plaignante (cf. dans ce sens Y. JEANNERET / A. KUHN / C. PERRIER DEPEURSINGE (éds), Commentaire romand : Code de procédure pénale suisse, 2ème éd., Bâle 2019, n. 13 ad art. 382).</w:t>
      </w:r>
    </w:p>
    <w:p>
      <w:r>
        <w:rPr>
          <w:b/>
        </w:rPr>
        <w:t>E. 2</w:t>
      </w:r>
    </w:p>
    <w:p>
      <w:r>
        <w:t>Pour le surplus, le recours a été déposé selon la forme et – faute de date de notification établie – dans le délai prescrits (art. 384 let. b, 385 al. 1 et 396 al. 1 CPP) et concerne une décision sujette à recours auprès de la Chambre de céans (art. 310 al. 2, 322 al. 3 et 393 al. 1 let a CPP).</w:t>
      </w:r>
    </w:p>
    <w:p>
      <w:r>
        <w:rPr>
          <w:b/>
        </w:rPr>
        <w:t>E. 3</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w:t>
      </w:r>
    </w:p>
    <w:p>
      <w:r>
        <w:t>- 4/7 - P/23529/2019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La question juridique doit être très claire (DCPR/104/2011 du 11 mai 2011; Y. JEANNERET / A. KUHN / C. PERRIER DEPEURSINGE (éds), op. cit., n. 10 ad art. 310).</w:t>
      </w:r>
    </w:p>
    <w:p>
      <w:r>
        <w:rPr>
          <w:b/>
        </w:rPr>
        <w:t>E. 4</w:t>
      </w:r>
    </w:p>
    <w:p>
      <w:r>
        <w:t>Le recourant invoque une violation de l'art. 17 RTSP.</w:t>
      </w:r>
    </w:p>
    <w:p>
      <w:r>
        <w:rPr>
          <w:b/>
        </w:rPr>
        <w:t>E. 4.1</w:t>
      </w:r>
    </w:p>
    <w:p>
      <w:r>
        <w:t>Les violations de l'art. 17 LPG sont punies par l'art. 11D al. 1 LPG. Les dispositions de la partie générale du Code pénal sont applicables (art. 1 al. 1 let. a LPG). Par conséquent, l'infraction est uniquement réprimée sous sa forme intentionnelle (art. 12 al. 1 CP).</w:t>
      </w:r>
    </w:p>
    <w:p>
      <w:r>
        <w:rPr>
          <w:b/>
        </w:rPr>
        <w:t>E. 4.2</w:t>
      </w:r>
    </w:p>
    <w:p>
      <w:r>
        <w:t>En l'espèce, les mesurages du SABRA sont déterminants. Or, ils ne montrent – par des données collectées sur deux périodes séparées – aucun dépassement des valeurs limites applicables, et notamment pas la nuit, dans le périmètre de l'entreprise B______ S.A. À vrai dire, le recourant n'en disconvient pas, mais se plaint que le SABRA se refuserait à lui divulguer les valeurs mesurées en 2019 sous les fenêtres de sa chambre à coucher. Or, le rapport du SABRA du 19 avril 2019, versé au dossier, comporte ces résultats. Le SABRA y signale expressément avoir effectué ses vérifications au moyen d'un appareil placé "dans l'embrasure de la fenêtre fermée d'une chambre à coucher du premier étage". Par ailleurs, même si l'on admettait un lien de causalité avec les troubles du sommeil et l'état dépressif du recourant – la sensibilité au bruit est souvent affaire individuelle,</w:t>
      </w:r>
    </w:p>
    <w:p>
      <w:r>
        <w:t>- 5/7 - P/23529/2019 même de nuit –, l'on ne voit pas quelle norme de protection contre le bruit aurait violée l'entreprise B______ S.A., fût-ce en rétorsion d'un engagement civique fructueux du recourant. Dès lors, il n'est pas établi que le dérangement causé au repos nocturne de celui-ci atteindrait l'intensité d'un trouble punissable, au sens des art. 11D al. 1 LPG et 17 RTSP. Autre est la question de savoir si ces nuisances sont constitutives d'un trouble de la propriété, au sens du droit civil. Le recourant a d'ailleurs saisi le tribunal – civil – compétent. Autre est, aussi, la question de savoir si des véhicules de fournisseurs, et non l'exploitation maraîchère proprement dite, ont pu dépasser les normes de bruit qui leur sont applicables : l'entreprise susmentionnée ne répondrait pas pénalement des infractions éventuellement commises en la matière par ses fournisseurs. On peut ajouter, à ce sujet, que le SABRA a aussi mesuré le trafic routier sur le tronçon de chaussée desservant l'entreprise et le domicile du recourant et a constaté que les valeurs légales y étaient respectées.</w:t>
      </w:r>
    </w:p>
    <w:p>
      <w:r>
        <w:rPr>
          <w:b/>
        </w:rPr>
        <w:t>E. 5</w:t>
      </w:r>
    </w:p>
    <w:p>
      <w:r>
        <w:t>Partant, le recours doit être rejeté. Dès lors, la Chambre de céans pouvait décider d'emblée de le traiter sans échange d'écritures ni débats (art. 390 al. 2 et 5 a contrario CPP). Les autres conclusions prises par le recourant sont sans objet.</w:t>
      </w:r>
    </w:p>
    <w:p>
      <w:r>
        <w:rPr>
          <w:b/>
        </w:rPr>
        <w:t>E. 6</w:t>
      </w:r>
    </w:p>
    <w:p>
      <w:r>
        <w:t>Le recourant, qui n'a pas gain de cause, supportera les frais judiciaires, arrêtés en totalité à CHF 800.- et comprenant l'émolument de rigueur (art. 428 al. 1 CPP et 13 al. 1 du Règlement fixant le tarif des frais en matière pénale, RTFMP; E 4 10.03). * * * * *</w:t>
      </w:r>
    </w:p>
    <w:p>
      <w:r>
        <w:t>- 6/7 - P/23529/2019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