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ACPR/715/2023 vom 21. Juli 2023</w:t>
      </w:r>
    </w:p>
    <w:p>
      <w:r>
        <w:t>GE Cour de justice, 2023-07-21, FR</w:t>
      </w:r>
    </w:p>
    <w:p>
      <w:r>
        <w:rPr>
          <w:b/>
        </w:rPr>
        <w:t xml:space="preserve">Quelle: </w:t>
      </w:r>
      <w:r>
        <w:t>https://mcp.opencaselaw.ch/entscheid/ge_gerichte_ACPR_715_2023</w:t>
      </w:r>
    </w:p>
    <w:p>
      <w:r>
        <w:t>FR: GE_GERICHTE ACPR/715/2023 du 21 juillet 2023</w:t>
      </w:r>
    </w:p>
    <w:p>
      <w:r>
        <w:t>IT: GE_GERICHTE ACPR/715/2023 del 21 luglio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237 al. 4 et 393 al. 1 let. c CPP) et émaner</w:t>
      </w:r>
    </w:p>
    <w:p>
      <w:r>
        <w:t>- 4/8 - P/3072/2023 du prévenu qui, partie à la procédure (art. 104 al. 1 let. a CPP), a qualité pour agir, ayant un intérêt juridiquement protégé à la modification ou à l'annulation de la décision querellée (art. 382 al. 1 CPP). Le délai de recours part bien de la notification du prononcé rectifié, au sens de l’art. 83 al. 4 CPP (N. SCHMID / D. JOSITSCH, Schweizerische Strafprozessordnung : Praxiskommentar, 4ème éd., Zurich 2023, n. 5 ad art. 83).</w:t>
      </w:r>
    </w:p>
    <w:p>
      <w:r>
        <w:rPr>
          <w:b/>
        </w:rPr>
        <w:t>E. 2</w:t>
      </w:r>
    </w:p>
    <w:p>
      <w:r>
        <w:t>Le recourant se plaint d'une violation de son droit d’être entendu, pour n’avoir pas eu l’occasion d’exercer son droit de se déterminer sur la requête du Ministère public. Il est vrai que le dossier ne comporte pas la preuve que la communication électronique du TMC, transmettant ladite requête, a efficacement atteint l’avocat du recourant ; et il est vrai aussi qu’après avoir constaté des erreurs matérielles et des contradictions dans son ordonnance du 12 juillet 2023, le TMC n’a pas non plus respecté l’art. 83 al. 3 CPP avant de statuer à nouveau. Ce nonobstant, le recourant n’invoque pas de violation de cette disposition légale ; c’est ainsi à la seule lumière des principes applicables aux mesures de substitution et au droit d’être entendu y relatif (art. 237 al. 4 et 227 al. 3 CPP) que doivent s’examiner les mérites de son grief. Or, dans la présente instance, le recourant a pu s’exprimer complètement et sans limitation sur les arguments appuyant la demande de prolongation des mesures ordonnées le 10 février 2023. On ne voit donc pas l’intérêt – et il n’en fait d’ailleurs valoir aucun – à annuler la décision attaquée pour violation du droit d’être entendu, car la Chambre jouit d’un pouvoir d’examen complet, en fait et en droit, de sorte que la violation du droit d’être entendu a été réparée. Au demeurant, le recourant ne conclut pas à ce que la cause soit renvoyée au TMC pour que cette autorité statue à nouveau.</w:t>
      </w:r>
    </w:p>
    <w:p>
      <w:r>
        <w:rPr>
          <w:b/>
        </w:rPr>
        <w:t>E. 3</w:t>
      </w:r>
    </w:p>
    <w:p>
      <w:r>
        <w:t>Le recourant conteste que l’interdiction de contact avec son fils et la supervision par le SPI des mesures de substitution soient encore nécessaires.</w:t>
      </w:r>
    </w:p>
    <w:p>
      <w:r>
        <w:rPr>
          <w:b/>
        </w:rPr>
        <w:t>E. 3.1</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l'al. 2 de cette disposition, fait notamment partie des mesures de substitution l'interdiction d'entretenir des relations avec certaines personnes (let. g). Cette disposition a été conçue avant tout pour éviter les risques de collusion ou de récidive, p. ex. en matière de violences domestiques (Y. JEANNERET / A. KUHN / C. PERRIER</w:t>
      </w:r>
    </w:p>
    <w:p>
      <w:r>
        <w:t>- 5/8 - P/3072/2023 DEPEURSINGE (éds), Commentaire romand : Code de procédure pénale suisse, 2ème éd., Bâle 2019, n. 14 ad art. 237).</w:t>
      </w:r>
    </w:p>
    <w:p>
      <w:r>
        <w:rPr>
          <w:b/>
        </w:rPr>
        <w:t>E. 3.2</w:t>
      </w:r>
    </w:p>
    <w:p>
      <w:r>
        <w:t>Selon l'art. 221 al. 1 let. b CPP, applicable aux mesures de substitution par renvoi de l'art. 237 al. 4 CPP, la détention provisoire ne peut être ordonnée que lorsqu'il y a sérieusement lieu de craindre que le prévenu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arrêt du Tribunal fédéral 1B_687/2021 du 11 janvier 2022 consid. 4.1).</w:t>
      </w:r>
    </w:p>
    <w:p>
      <w:r>
        <w:rPr>
          <w:b/>
        </w:rPr>
        <w:t>E. 3.3</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w:t>
      </w:r>
    </w:p>
    <w:p>
      <w:r>
        <w:t>- 6/8 - P/3072/2023 risque de récidive peut également se fonder sur les infractions faisant l'objet de la procédure pénale en cours, si le prévenu est fortement soupçonné – avec une probabilité confinant à la certitude – de les avoir commises (ATF 143 IV 9 consid. 2.3.1).</w:t>
      </w:r>
    </w:p>
    <w:p>
      <w:r>
        <w:rPr>
          <w:b/>
        </w:rPr>
        <w:t>E. 3.4</w:t>
      </w:r>
    </w:p>
    <w:p>
      <w:r>
        <w:t>En l'espèce, le recourant ne conteste pas l’existence de charges suffisantes. Il explique avoir exprimé remords et regrets. Cela étant, sa prise de conscience paraît, au mieux, embryonnaire. En effet, le SPI observe, dans son rapport du 22 mai 2023, que A______ ne discerne pas le risque d’une récidive, au motif qu’il comprendrait « maintenant » le caractère illégal de ses actes ; et, le 4 juillet 2023, C______ a relevé que A______, qui était « au début » de sa prise en charge, s’interrogeait « progressivement » sur ses difficultés dans l’éducation de son fils, Ces éléments, encourageants, mais récents, nuancent l’affirmation péremptoire du recourant sur la disparition hic et nunc des deux risques que lui a opposés le premier juge. Une évolution est encore attendue du recourant – et devra être dûment confirmée –. Certes, on ne peut ignorer que la jeune victime est actuellement placée. Mais on ne peut écarter tout risque qu’elle soit contactée, par exemple sur son lieu de résidence (non caviardé dans le dossier), l’exposant à de nouvelles violences ou à des pressions, d’autant plus que le recourant a fait part à C______ de son sentiment d’injustice et d’incompréhension envers la procédure pénale en cours et que l’enfant craint de le retrouver. Si le recourant semble attendre du SPMi l’aménagement d’un droit de visite sous surveillance, qui atténuerait les dangers de réitération et de collusion, il faut relever que le dossier est, en l’état, dénué d’éléments à l’appui de la mise en place d’une reprise des droits parentaux. Aussi est-ce à juste titre que le premier juge a tenu à réserver la possibilité d’un allègement des mesures de substitution, si elle devait se concrétiser. En l’état, le dispositif qu’il a mis en place reste conforme au droit.</w:t>
      </w:r>
    </w:p>
    <w:p>
      <w:r>
        <w:rPr>
          <w:b/>
        </w:rPr>
        <w:t>E. 4</w:t>
      </w:r>
    </w:p>
    <w:p>
      <w:r>
        <w:t>Cela étant, l’échéance fixée pour la prolongation des mesures de substitution (8 février 2024) ne pourrait être confirmée que si elle avait été fixée six mois (ou moins) plus tôt (art. 227 al. 7 et 89 al. 1 CPP), soit le 8 août 2023. Or, tel n’est pas le cas : l’ordonnance attaquée a été rendue et notifiée le 21 juillet 2023, de sorte que la durée, maximale, de six mois (ATF 141 IV 190 consid. 3.3) – qui ne peut courir qu’à partir de son prononcé, sauf à « provisionner » indûment des échéances encore lointaines et à contourner la loi – est ici dépassée. Le recours s'avère par conséquent fondé sur ce point.</w:t>
      </w:r>
    </w:p>
    <w:p>
      <w:r>
        <w:t>- 7/8 - P/3072/2023 La Chambre, statuant à nouveau (art. 397 al. 3 CPP), ramènera l’échéance des trois règles de comportement au 21 janvier 2024.</w:t>
      </w:r>
    </w:p>
    <w:p>
      <w:r>
        <w:rPr>
          <w:b/>
        </w:rPr>
        <w:t>E. 5</w:t>
      </w:r>
    </w:p>
    <w:p>
      <w:r>
        <w:t>Bien que le recourant ne demande pas formellement l’extension de la défense d’office à la présente instance, les informalités relevées ne rendaient pas sa démarche téméraire. Toutefois, l’indemnisation de son avocat interviendra en fin de procédure (art. 135 al. 2 CPP). Le recourant n’a d’ailleurs pas demandé qu’il en aille différemment (cf. art. 421 al. 2 let. a et 422 al. 2 let. a CPP).</w:t>
      </w:r>
    </w:p>
    <w:p>
      <w:r>
        <w:rPr>
          <w:b/>
        </w:rPr>
        <w:t>E. 6</w:t>
      </w:r>
    </w:p>
    <w:p>
      <w:r>
        <w:t>Le recourant, qui a partiellement gain de cause, n’assumera pas de frais judiciaires. * * * * *</w:t>
      </w:r>
    </w:p>
    <w:p>
      <w:r>
        <w:t>- 8/8 - P/3072/2023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