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ACPR/710/2021 vom 24. Juni 2021</w:t>
      </w:r>
    </w:p>
    <w:p>
      <w:r>
        <w:t>GE Cour de justice, 2021-06-24, FR</w:t>
      </w:r>
    </w:p>
    <w:p>
      <w:r>
        <w:rPr>
          <w:b/>
        </w:rPr>
        <w:t xml:space="preserve">Quelle: </w:t>
      </w:r>
      <w:r>
        <w:t>https://mcp.opencaselaw.ch/entscheid/ge_gerichte_ACPR_710_2021</w:t>
      </w:r>
    </w:p>
    <w:p>
      <w:r>
        <w:t>FR: GE_GERICHTE ACPR/710/2021 du 24 juin 2021</w:t>
      </w:r>
    </w:p>
    <w:p>
      <w:r>
        <w:t>IT: GE_GERICHTE ACPR/710/2021 del 24 giugno 2021</w:t>
      </w:r>
    </w:p>
    <w:p>
      <w:pPr>
        <w:pStyle w:val="Heading2"/>
      </w:pPr>
      <w:r>
        <w:t>Erwägungen</w:t>
      </w:r>
    </w:p>
    <w:p>
      <w:r>
        <w:rPr>
          <w:b/>
        </w:rPr>
        <w:t>E. 1</w:t>
      </w:r>
    </w:p>
    <w:p>
      <w:r>
        <w:t>Le recours est recevable pour avoir été déposé selon la forme et – les formalités de notification n'ayant pas été respectées (art.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t>- 5/8 - P/6205/2021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Le ministère public doit procéder à une reprise de la poursuite au sens de l'art. 323 CPP, et non à l'ouverture d'une procédure distincte, lorsque les faits dont il est nouvellement saisi sont identiques à ceux préalablement dénoncés. La qualification juridique desdits faits n'est, en revanche, pas déterminante (A. KUHN/ Y. JEANNERET/ C. PERRIER DEPEURSINGE (éds), Commentaire romand : Code de procédure pénale suisse, 2e éd., Bâle 2019, n. 14 et n. 23 ad art. 323).</w:t>
      </w:r>
    </w:p>
    <w:p>
      <w:r>
        <w:rPr>
          <w:b/>
        </w:rPr>
        <w:t>E. 3.2</w:t>
      </w:r>
    </w:p>
    <w:p>
      <w:r>
        <w:t>En vertu de la norme précitée, le procureur ordonne la reprise d'une procédure préliminaire close par une décision de non-entrée en matière (arrêt du Tribunal fédéral 6B_1135/2016 du 24 novembre 2017 consid. 3.1), lorsqu'il a connaissance de faits ou moyens de preuve nouveaux qui ne ressortent pas du dossier antérieur, révélant une responsabilité pénale du prévenu. L'art. 323 al. 1 CPP énonce deux conditions cumulatives (ATF 141 IV 194 consid. 2.3 p. 197) qui restreignent le champ d'application de cette forme de révision. Ces deux conditions sont cependant moins sévères après une non-entrée en matière qu'après un classement (ATF 141 IV 194 consid. 2.3 p. 199). Par conséquent, l'ordonnance de non-entrée en matière bénéficie d'une autorité de chose jugée plus limitée encore que celle, déjà réputée restreinte, de l'ordonnance de classement (ATF 144 IV 81 consid. 2.3.5 p. 88). Le fait est nouveau si l'autorité n'a pas pu en avoir eu connaissance. L'art. 323 al. 1 CPP assimile à la connaissance concrète les situations dans lesquelles il existait déjà dans le dossier des éléments se référant au fait (A. KUHN/ Y. JEANNERET/ C. PERRIER DEPEURSINGE (éds), Commentaire romand : Code de procédure pénale suisse, 2e éd., Bâle 2019, n. 20 ad art. 323). Ainsi, des moyens de preuves qui ont été cités voire administrés dans le cadre de la procédure antérieure sans être toutefois complètement exploités, ne peuvent pas être considérés comme étant nouveaux (ATF 141 IV 194 consid. 2.3. p. 197). Par faits, l'on entend toute circonstance susceptible d'influer sur l'état de fait qui fonde le jugement. Quant aux moyens de preuve, ils apportent la preuve d'un fait qui peut déjà avoir été allégué. Une opinion, une appréciation personnelle ou une conception juridique nouvelles ne peuvent pas justifier une révision (ATF 141 IV 93 consid. 2.3 ; 137 IV 59 consid. 5.1.1). Les faits ou moyens de preuve nouveaux doivent remettre en cause les certitudes que le ministère public devait être à même d'afficher pour rendre une telle décision et, dans le même temps, fonder des soupçons suffisants laissant présumer qu'une infraction a été commise (arrêt du Tribunal fédéral 6B_1153/2016 du 23 janvier 2018 consid. 3.2 in fine, non publié aux ATF 144 IV 81).</w:t>
      </w:r>
    </w:p>
    <w:p>
      <w:r>
        <w:t>- 6/8 - P/6205/2021 Il est concevable que, dans un premier temps, le ministère public ou une partie (notamment la partie plaignante) ait eu connaissance d'un moyen de preuve ou d'un fait important dont ils n'ont toutefois pas, volontairement, pour une raison quelconque, fait état en procédure. En pareil cas, le principe de la bonne foi ou l'interdiction de l'abus de droit (art. 3 al. 2 let. a et b CPP) devraient, en règle générale, faire obstacle à la reprise, respectivement à l'ouverture de la procédure. Il faut toutefois un abus manifeste (cf. art. 2 al. 2 CC) et une violation grave du principe de la bonne foi pour que le ministère public puisse s'interdire de rouvrir la procédure sur la base d'éléments provenant de la partie plaignante. L'existence d'un abus de droit ne doit être admise qu'avec retenue (arrêt du Tribunal fédéral 6B_1153/2016 précité consid. 3.2 et les références citées, non publié aux ATF 144 IV 81).</w:t>
      </w:r>
    </w:p>
    <w:p>
      <w:r>
        <w:rPr>
          <w:b/>
        </w:rPr>
        <w:t>E. 3.3</w:t>
      </w:r>
    </w:p>
    <w:p>
      <w:r>
        <w:t>En l'espèce, l'"analyse" des factures des SIG de 2001 à 2011 à laquelle a procédé la recourante ne représente manifestement pas un fait nouveau, ce d'autant plus qu'elle était en possession de ces documents en avril 2021. Les variations antérieures à 2014 ont en outre été abordées pendant la procédure de recours contre l'ordonnance de non-entrée en matière initiale, la recourante n'amenant aucun élément de fait ou moyen de preuve supplémentaire à cet égard. À cela s'ajoute que les variations "supplémentaires" mises en exergue par la recourante peuvent être expliquées par les diverses interventions au fil des années et sont très certainement influencées par la cohabitation avec son frère. Rien ne permet de conclure qu'une infraction a été commise. En outre, la recourante réaffirme que les auteurs possibles pourraient être le propriétaire, son voisin ou d'autres habitants de l'immeuble, voire les SIG, ajoutant que le responsable des travaux qu'elle a elle-même ordonnés en 2010 pourrait être un suspect supplémentaire. Ces soupçons ne sont nullement étayés et manifestement pas nouveaux au sens de la disposition pertinente. Il en va de même pour ceux d'irrégularités lors des contrôles OIBT effectués. Force est dès lors de constater, avec le Ministère public, que la recourante n'allègue ni ne démontre de quelconque faits nouveaux commandant la réouverture de la procédure.</w:t>
      </w:r>
    </w:p>
    <w:p>
      <w:r>
        <w:rPr>
          <w:b/>
        </w:rPr>
        <w:t>E. 4</w:t>
      </w:r>
    </w:p>
    <w:p>
      <w:r>
        <w:t>Justifiée l'ordonnance querellée sera confirmée.</w:t>
      </w:r>
    </w:p>
    <w:p>
      <w:r>
        <w:rPr>
          <w:b/>
        </w:rPr>
        <w:t>E. 5</w:t>
      </w:r>
    </w:p>
    <w:p>
      <w:r>
        <w:t>La recourante, qui succombe, supportera les frais envers l'État fixés en totalité à CHF 1'000.- (art. 428 al. 1 CPP et 13 al. 1 du Règlement fixant le tarif des frais en matière pénale, RTFMP ; E 4 10.03). * * * * *</w:t>
      </w:r>
    </w:p>
    <w:p>
      <w:r>
        <w:t>- 7/8 - P/6205/2021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