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ACPR/709/2018 vom 7. Juni 2018</w:t>
      </w:r>
    </w:p>
    <w:p>
      <w:r>
        <w:t>GE Cour de justice, 2018-06-07, FR</w:t>
      </w:r>
    </w:p>
    <w:p>
      <w:r>
        <w:rPr>
          <w:b/>
        </w:rPr>
        <w:t xml:space="preserve">Quelle: </w:t>
      </w:r>
      <w:r>
        <w:t>https://mcp.opencaselaw.ch/entscheid/ge_gerichte_ACPR_709_2018</w:t>
      </w:r>
    </w:p>
    <w:p>
      <w:r>
        <w:t>FR: GE_GERICHTE ACPR/709/2018 du 7 juin 2018</w:t>
      </w:r>
    </w:p>
    <w:p>
      <w:r>
        <w:t>IT: GE_GERICHTE ACPR/709/2018 del 7 giugno 2018</w:t>
      </w:r>
    </w:p>
    <w:p>
      <w:pPr>
        <w:pStyle w:val="Heading2"/>
      </w:pPr>
      <w:r>
        <w:t>Erwägungen</w:t>
      </w:r>
    </w:p>
    <w:p>
      <w:r>
        <w:rPr>
          <w:b/>
        </w:rPr>
        <w:t>E. 1</w:t>
      </w:r>
    </w:p>
    <w:p>
      <w:r>
        <w:t>Le recours est recevable pour avoir été déposé selon la forme et – faute de date de notification établie –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contre D______.</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w:t>
      </w:r>
    </w:p>
    <w:p>
      <w:r>
        <w:t>- 6/10 - P/9472/2018 (arrêt du Tribunal fédéral 6B_185/2016 du 20 novembre 2016 consid. 2.1.2 et les références).</w:t>
      </w:r>
    </w:p>
    <w:p>
      <w:r>
        <w:rPr>
          <w:b/>
        </w:rPr>
        <w:t>E. 2.2</w:t>
      </w:r>
    </w:p>
    <w:p>
      <w:r>
        <w:t>Le secret de fonction est protégé à l'art. 320 CP qui réprime le comportement de celui qui aura révélé un secret à lui confié en sa qualité de membre d'une autorité ou de fonctionnaire, ou dont il avait eu connaissance à raison de sa charge ou de son emploi.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 BOMMER, Schweizerisches Strafrecht, Besonderer Teil II :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Les infractions en droit suisse, n. 13 ad art. 320). Il ne peut s'agir d'un fait notoire ou facile à connaître.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Au plan subjectif, l'infraction réprimée par l'art. 320 CP est intentionnelle. Le dol éventuel suffit et doit porter sur tous les éléments objectifs (arrêt du Tribunal fédéral 6B_599/2015 du 25 février 2016 consid. 2.3).</w:t>
      </w:r>
    </w:p>
    <w:p>
      <w:r>
        <w:rPr>
          <w:b/>
        </w:rPr>
        <w:t>E. 2.3</w:t>
      </w:r>
    </w:p>
    <w:p>
      <w:r>
        <w:t>En l'espèce, la recourante admet que la transmission d'informations entre l'OCIRT et la CPMBG était légitime et conforme au droit. Ainsi, le fait que le mis en cause ait pu, lui-même, comprendre que le message de l'OCIRT la concernait, car elle avait préalablement été contrôlée par la CPMBG, n'est pas pertinent. Le transfert, par D______, du courriel de l'OCIRT à G______ n'est pas relevant non plus. Le dit message ne contenait, en effet, pas le nom de la recourante, ni aucune donnée à caractère confidentiel. La simple mention du fait que l'OCIRT était en train d'effectuer un contrôle n'est pas une donnée secrète puisqu'il s'agit là d'une des tâches</w:t>
      </w:r>
    </w:p>
    <w:p>
      <w:r>
        <w:t>- 7/10 - P/9472/2018 officielles de cet office. Quant à la mention des marques de filtres, la recourante admet elle-même ne pas en être le seul fournisseur. Elle échoue ainsi à démontrer que cette simple évocation aurait pu permettre à G______, et/ou aux membres de son Bureau directeur, de l'identifier. Par voie de conséquence, cette évocation n'est pas non plus propre à démontrer que le mis en cause aurait eu l'intention de révéler, par ce biais, un quelconque secret. Au surplus, aucun élément du dossier ne vient soutenir les soupçons de la recourante que l'intégralité du dossier en possession de la CPMBG, incluant une référence à son nom, aurait été transmise à G______. Ce grief sera donc rejeté.</w:t>
      </w:r>
    </w:p>
    <w:p>
      <w:r>
        <w:rPr>
          <w:b/>
        </w:rPr>
        <w:t>E. 3</w:t>
      </w:r>
    </w:p>
    <w:p>
      <w:r>
        <w:t>La recourante soutient, en outre, que le courriel de H______ violerait l'art. 3 al. 1 let. a LCD.</w:t>
      </w:r>
    </w:p>
    <w:p>
      <w:r>
        <w:rPr>
          <w:b/>
        </w:rPr>
        <w:t>E. 3.1</w:t>
      </w:r>
    </w:p>
    <w:p>
      <w:r>
        <w:t>L’art. 23 LCD permet le prononcé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w:t>
      </w:r>
    </w:p>
    <w:p>
      <w:r>
        <w:rPr>
          <w:b/>
        </w:rPr>
        <w:t>E. 3.2</w:t>
      </w:r>
    </w:p>
    <w:p>
      <w:r>
        <w:t>Agit de façon déloyale celui qui dénigre autrui, ses marchandises, ses œuvres, ses prestations, ses prix ou ses affaires par des allégations inexactes, fallacieuses ou inutilement blessantes (l'art. 3 al. 1 let. a LCD). Pour qu'il y ait concurrence déloyale au sens de l'art. 23 LCD,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consid. 2c).</w:t>
      </w:r>
    </w:p>
    <w:p>
      <w:r>
        <w:rPr>
          <w:b/>
        </w:rPr>
        <w:t>E. 3.3</w:t>
      </w:r>
    </w:p>
    <w:p>
      <w:r>
        <w:t>En l'espèce, la recourante soutient que la mention, par la mise en cause, dans son courriel, que les marques des filtres qu'elle utilisait n'étaient pas agréées par la SSIGE, avait pour seul but de la discréditer auprès de son client, C______.</w:t>
      </w:r>
    </w:p>
    <w:p>
      <w:r>
        <w:t>- 8/10 - P/9472/2018 Toutefois, la recourante n'a ni établi, ni même rendu vraisemblable que la mise en cause savait que le courriel que lui avait transmis la CPMBG la concernait, puisqu'elle n'a pas le monopole de distribution de ces filtres. Le courriel de l'OCIRT ne mentionnait pas non plus l'identité du client de l'entreprise contrôlée. La mise en cause ne connaissant ainsi ni l'entreprise concernée, ni les clients de celle-ci, toute intention d'influencer leurs rapports est exclue. Le fait que la mise en cause se soit adressé à un office de l'État de Genève n'a pas non plus de portée, dès lors qu'il n'entre pas dans la mission de l'OCIRT d'attribuer les chantiers, mais de les contrôler. Il n'était, au surplus, pas déloyal de mentionner que des questions se posaient quant au matériel utilisé, qui n'aurait pas été agréé par la SSIGE. Cette remarque n'était pas non plus fallacieuse, la recourante ne contestant pas qu'un tel agrément soit manquant, mais expliquant qu'il n'était pas légalement nécessaire. On comprend, du reste, du message de G______ que cette remarque a été faite, aussi, pour proposer un expert. Ce grief sera, dès lors, également rejeté.</w:t>
      </w:r>
    </w:p>
    <w:p>
      <w:r>
        <w:rPr>
          <w:b/>
        </w:rPr>
        <w:t>E. 4</w:t>
      </w:r>
    </w:p>
    <w:p>
      <w:r>
        <w:t>La recourante qualifie le courriel du 15 février 2018 de "montage grossier". Il sied, à cet égard, de relever que la recourante – qui n'étaye pas son propos – soulève pour la première fois cet argument dans son recours, sans pour autant se plaindre d'une quelconque falsification de document, estimant seulement que celui-ci aurait dû "éveiller la suspicion de l'autorité pénale". Quoi qu'il en soit, la pièce litigieuse est un courriel du mis en cause, sous lequel figure le courriel de G______, sans qu'aucun élément ne permette de retenir qu'il s'agirait d'un montage, et encore moins constitutif d'une infraction pénale. Par conséquent, cet élément n'était pas non plus propre à rendre nécessaire l'ouverture d'une instruction pénale.</w:t>
      </w:r>
    </w:p>
    <w:p>
      <w:r>
        <w:rPr>
          <w:b/>
        </w:rPr>
        <w:t>E. 5</w:t>
      </w:r>
    </w:p>
    <w:p>
      <w:r>
        <w:t>Justifiée, l'ordonnance querellée sera donc confirmée.</w:t>
      </w:r>
    </w:p>
    <w:p>
      <w:r>
        <w:rPr>
          <w:b/>
        </w:rPr>
        <w:t>E. 6</w:t>
      </w:r>
    </w:p>
    <w:p>
      <w:r>
        <w:t>La recourante, qui succombe, supportera les frais envers l'État, qui seront fixés en totalité à CHF 800.- (art. 428 al. 1 CPP et 13 al. 1 du Règlement fixant le tarif des frais en matière pénale, RTFMP; E 4 10.03). * * * * *</w:t>
      </w:r>
    </w:p>
    <w:p>
      <w:r>
        <w:t>- 9/10 - P/9472/2018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