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ACPR/707/2018 vom 6. November 2018</w:t>
      </w:r>
    </w:p>
    <w:p>
      <w:r>
        <w:t>GE Cour de justice, 2018-11-06, FR</w:t>
      </w:r>
    </w:p>
    <w:p>
      <w:r>
        <w:rPr>
          <w:b/>
        </w:rPr>
        <w:t xml:space="preserve">Quelle: </w:t>
      </w:r>
      <w:r>
        <w:t>https://mcp.opencaselaw.ch/entscheid/ge_gerichte_ACPR_707_2018</w:t>
      </w:r>
    </w:p>
    <w:p>
      <w:r>
        <w:t>FR: GE_GERICHTE ACPR/707/2018 du 6 novembre 2018</w:t>
      </w:r>
    </w:p>
    <w:p>
      <w:r>
        <w:t>IT: GE_GERICHTE ACPR/707/2018 del 6 novembre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l'infraction liée à l'interdiction d'entrée en Suisse qui ne lui aurait pas été notifiée.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il est désormais établi que le recourant qui vit chez ses parents, quand il n'est pas détenu, avait chargé ces derniers de gérer son courrier et savait que des recommandés lui étaient adressés, informé qu'il était par sa mère. Il n'aurait, aux dires de cette dernière, pas établi de procuration pour que ses parents puissent aller les retirer à la poste. En particulier, il est hautement vraisemblable que dans les procédures ayant conduit aux condamnations visées dans la décision du 10 février 2017 du SEM à l'origine de cette procédure, l'OCPM lui avait notifié une mesure d'éloignement identique à celles qui lui ont été notifiées le 25 septembre 2018 par cet office ou le 22 décembre 2016 par l'Administration des douanes. Il savait, ainsi, qu'ayant été arrêté et condamné, il devait s'attendre à recevoir des décisions concernant une interdiction d'entrée en Suisse. On peut ainsi raisonnablement</w:t>
      </w:r>
    </w:p>
    <w:p>
      <w:r>
        <w:t>- 9/11 - P/18459/2018 considérer qu'il n'a pas pris les mesures utiles pour réceptionner et lui faire suivre les décisions des autorités suisses voire se serait sciemment abstenu de les prendre et que la décision du SEM du 10 février 21017 lui faisant interdiction d'entrée en Suisse lui a été valablement notifiée. Le recourant a déclaré lors de la dernière audience être venu en Suisse à raison de trois fois par semaine depuis avril 2018. Les charges d'infraction à l'art. 115 LÉtr apparaissent ainsi suffisantes. Le recourant a en outre été prévenu d'infraction à l'art 285 ch 1 CP.</w:t>
      </w:r>
    </w:p>
    <w:p>
      <w:r>
        <w:rPr>
          <w:b/>
        </w:rPr>
        <w:t>E. 3</w:t>
      </w:r>
    </w:p>
    <w:p>
      <w:r>
        <w:t>Le recourant ne s'exprime sur aucun des risques retenus par le premier juge. En l'espèce, le risque de fuite est concret au regard de la nationalité étrangère du prévenu et son absence d'attaches avec la Suisse. Le risque est en outre accru par la perspective d'une condamnation vu la peine-menace et la peine concrètement encourue, incluant la possible révocation du sursis portant sur une peine privative de liberté de 360 jours. Ce risque suffit à faire obstacle à une libération et aucune mesure de substitution, que le recourant ne propose d'ailleurs pas, n'est de nature à le pallier.</w:t>
      </w:r>
    </w:p>
    <w:p>
      <w:r>
        <w:rPr>
          <w:b/>
        </w:rPr>
        <w:t>E. 4</w:t>
      </w:r>
    </w:p>
    <w:p>
      <w:r>
        <w:t>Le recours s'avère ainsi infondé.</w:t>
      </w:r>
    </w:p>
    <w:p>
      <w:r>
        <w:rPr>
          <w:b/>
        </w:rPr>
        <w:t>E. 5</w:t>
      </w:r>
    </w:p>
    <w:p>
      <w:r>
        <w:t>Le recourant, qui succombe par conséquent, supportera les frais envers l'État, qui seront fixés en totalité à CHF 900.- (art. 428 al. 1 CPP et 13 al. 1 du Règlement fixant le tarif des frais en matière pénale, RTFMP; E 4 10.03). * * * * *</w:t>
      </w:r>
    </w:p>
    <w:p>
      <w:r>
        <w:t>- 10/11 - P/18459/2018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