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ACPR/705/2025 vom 13. August 2025</w:t>
      </w:r>
    </w:p>
    <w:p>
      <w:r>
        <w:t>GE Cour de justice, 2025-08-13, FR</w:t>
      </w:r>
    </w:p>
    <w:p>
      <w:r>
        <w:rPr>
          <w:b/>
        </w:rPr>
        <w:t xml:space="preserve">Quelle: </w:t>
      </w:r>
      <w:r>
        <w:t>https://mcp.opencaselaw.ch/entscheid/ge_gerichte_ACPR_705_2025</w:t>
      </w:r>
    </w:p>
    <w:p>
      <w:r>
        <w:t>FR: GE_GERICHTE ACPR/705/2025 du 13 août 2025</w:t>
      </w:r>
    </w:p>
    <w:p>
      <w:r>
        <w:t>IT: GE_GERICHTE ACPR/705/2025 del 13 agosto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w:t>
      </w:r>
    </w:p>
    <w:p>
      <w:r>
        <w:t>- 5/9 - P/18057/2025 et les références citées; arrêts du Tribunal fédéral 1B_259/2022 précité consid. 4.3; 1B_230/2022 du 7 septembre 2022 consid. 2.2).</w:t>
      </w:r>
    </w:p>
    <w:p>
      <w:r>
        <w:rPr>
          <w:b/>
        </w:rPr>
        <w:t>E. 2.4</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Il a en effet été condamné à sept reprises, entre mars 2015 et mai 2025, pour des délits contre la loi fédérale sur les stupéfiants. Ces condamnations à la LStup vont de pair avec des reproches répétés de situation irrégulière en Suisse, étant précisé qu'il a été condamné à cinq reprises, entre octobre 2015 et septembre 2024, pour des infractions à la législation sur les étrangers, et à une reprise, le 2 septembre 2024, pour rupture de ban. Il est enfin poursuivi, dans le cadre de la présente procédure, pour des faits susceptibles d'être constitutifs, notamment, de rupture de ban et de non-respect d'une assignation à un lieu de résidence ou d'une interdiction de pénétrer dans une région déterminée. À cela s'ajoute qu'il a été interpellé à la rue Sismondi, le 13 août 2025, soit dans un quartier connu pour le trafic de cocaïne de rue, en possession d'une boulette de cette drogue. Ces éléments laissent craindre un ancrage dans la délinquance liée aux stupéfiants et permettent de penser que l'intéressé pourrait être impliqué dans d'autres infractions à la LStup encore inconnues des autorités, qui pourraient lui être attribuées si l'on était en mesure de comparer son profil d'ADN à des traces prélevées sur les lieux de leur commission. Les infractions à la LStup susceptibles d'être élucidées revêtent également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Le recourant soutient qu'ordonner un nouvel établissement de son profil d'ADN alors qu'un tel profil, immuable, avait déjà été établi plusieurs fois par le passé,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w:t>
      </w:r>
    </w:p>
    <w:p>
      <w:r>
        <w:t>- 6/9 - P/18057/2025 en l'occurrence un délit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une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invoque encore que les frais de ce nouvel établissement de son profil d'ADN seraient mis à sa charge et à celle du contribuable genevois. Il n'a toutefois pas été condamné à en supporter le coût, de tels frais n'ayant été mis à sa charge, ni dans le cadre de l'ordonnance querellée, ni dans l'ordonnance pénale prononcée le même jour. Que ce coût soit éventuellement mis à sa charge – ce qui n'est pas évident à ce stade, dès lors que cette question ne se posera qu'à l'issue de la procédure et à la condition que l'intéressé soit condamné – n'est donc pas pertinent. Pour le surplus, le recourant ne saurait se soustraire à la mesure au prétexte que les frais pourraient incomber au contribuable genevois. S'agissant du grief à teneur duquel l'ordonnance pénale du 13 août 2025 violerait l'art. 353 al. 1 let. fbis CPP, il est exorbitant au présent recours, qui porte uniquement sur l'ordonnance d'établissement d'un profil d'ADN prononcée le 13 août 2025, et non sur l'ordonnance pénale rendue le même jour. Il s'ensuit que l'ordonnance querellée ne prête pas le flanc à la critique, les réquisits pour le prononcé de l'établissement du profil d'ADN du recourant étant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L'indemnité du défenseur d'office sera fixée à la fin de la procédure (art. 135 al. 2 CPP). * * * * *</w:t>
      </w:r>
    </w:p>
    <w:p>
      <w:r>
        <w:t>- 8/9 - P/18057/2025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