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ACPR/704/2025 vom 16. Januar 2025</w:t>
      </w:r>
    </w:p>
    <w:p>
      <w:r>
        <w:t>GE Cour de justice, 2025-01-16, FR</w:t>
      </w:r>
    </w:p>
    <w:p>
      <w:r>
        <w:rPr>
          <w:b/>
        </w:rPr>
        <w:t xml:space="preserve">Quelle: </w:t>
      </w:r>
      <w:r>
        <w:t>https://mcp.opencaselaw.ch/entscheid/ge_gerichte_ACPR_704_2025</w:t>
      </w:r>
    </w:p>
    <w:p>
      <w:r>
        <w:t>FR: GE_GERICHTE ACPR/704/2025 du 16 janvier 2025</w:t>
      </w:r>
    </w:p>
    <w:p>
      <w:r>
        <w:t>IT: GE_GERICHTE ACPR/704/2025 del 16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Vu la connexité des deux recours, interjetés contre la même décision, ils seront joints et traités en un seul arrêt.</w:t>
      </w:r>
    </w:p>
    <w:p>
      <w:r>
        <w:rPr>
          <w:b/>
        </w:rPr>
        <w:t>E. 2</w:t>
      </w:r>
    </w:p>
    <w:p>
      <w:r>
        <w:t>Les recours sont recevables pour avoir été déposés selon la forme et dans le délai prescrits (art. 385 al. 1 et 396 al. 1 CPP), concerner une ordonnance sujette à recours auprès de la Chambre de céans (art. 393 al. 1 let. a CPP) et émaner des parties plaignantes qui, parties à la procédure (art. 104 al. 1 let. b CPP, 121 al. 1 CPP et 110 al. 1 CP), ont qualité pour agir, ayant un intérêt juridiquement protégé à la modification ou à l'annulation de la décision querellée (art. 382 al. 1 CPP), étant relevé que leur qualité pour recourir a déjà été précédemment reconnue (ACPR/696/2022 du</w:t>
      </w:r>
    </w:p>
    <w:p>
      <w:r>
        <w:rPr>
          <w:b/>
        </w:rPr>
        <w:t>E. 7</w:t>
      </w:r>
    </w:p>
    <w:p>
      <w:r>
        <w:t>Il n'y a pas lieu d'octroyer des indemnités aux recourants pour leurs frais d'avocats respectifs (art. 433 al. 1 CPP a contrario). * * * * *</w:t>
      </w:r>
    </w:p>
    <w:p>
      <w:r>
        <w:t>- 28/29 - P/24551/2019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