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ACPR/704/2020 vom 21. September 2020</w:t>
      </w:r>
    </w:p>
    <w:p>
      <w:r>
        <w:t>GE Cour de justice, 2020-09-21, FR</w:t>
      </w:r>
    </w:p>
    <w:p>
      <w:r>
        <w:rPr>
          <w:b/>
        </w:rPr>
        <w:t xml:space="preserve">Quelle: </w:t>
      </w:r>
      <w:r>
        <w:t>https://mcp.opencaselaw.ch/entscheid/ge_gerichte_ACPR_704_2020</w:t>
      </w:r>
    </w:p>
    <w:p>
      <w:r>
        <w:t>FR: GE_GERICHTE ACPR/704/2020 du 21 septembre 2020</w:t>
      </w:r>
    </w:p>
    <w:p>
      <w:r>
        <w:t>IT: GE_GERICHTE ACPR/704/2020 del 21 settembre 2020</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 Code de procédure pénale suisse, Bâle 2011, n. 12 ad art. 363). Le recours au sens de l'art. 393 CPP est la voie de droit ouverte contre les prononcés rendus par le TAPEM en matière de libération conditionnelle (art. 42 al. 1 let. b LaCP cum ATF 141 IV 187 consid. 1.1 et les références citées).</w:t>
      </w:r>
    </w:p>
    <w:p>
      <w:r>
        <w:t>- 6/9 - PM/1051/2020</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la forme et le délai prescrits (art. 90 al. 2, 385 al. 1, 390 al. 1 et 396 al. 1 CPP),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Bâle 2007, n. 5 ad art. 1576; S. TRECHSEL, Schweizerisches Strafgesetzbuch : Praxiskommentar,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Zurich, 2008, n. 8-9 ad art. 86).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w:t>
      </w:r>
    </w:p>
    <w:p>
      <w:r>
        <w:t>- 7/9 - PM/1051/2020</w:t>
      </w:r>
    </w:p>
    <w:p>
      <w:r>
        <w:rPr>
          <w:b/>
        </w:rPr>
        <w:t>E. 3.2</w:t>
      </w:r>
    </w:p>
    <w:p>
      <w:r>
        <w:t>En l'espèce, la condition objective d'une libération conditionnelle n'est pas encore réalisée et l'ensemble des préavis sont défavorables, pour des motifs qui n'apparaissent pas critiquables. Il apparaît en effet, comme relevé par le TAPEM, que le recourant a de nombreux antécédents et a déjà bénéficié d'une libération conditionnelle, en 2012, qui s'est soldée par un échec. Il a fait montre d'un mauvais comportement en détention, ayant fait l'objet de nombreuses sanctions, et y a consommé des substances interdites. Sa volonté affichée, déjà en 2019, de vouloir rentrer en France pour vivre chez son frère et exercer comme maraîcher, n'est absolument pas étayée. En outre, les fonds dont il dispose, avant même d'avoir remboursé ses dettes judiciaires, sont à l'évidence insuffisants pour se lancer dans ce projet agricole. De plus, le sevrage n'est pas encore atteint. Le risque que le recourant se retrouve, une fois en France, dans la même situation financière précaire qu'auparavant et ne soit tenté de revenir en Suisse pour y commettre à nouveau des infractions, au sujet duquel il convient de relever que l'on trouve les infractions de lésions corporelles depuis sa dernière condamnation, reste donc très élevé. Au vu de ce qui précède, à l'instar du TAPEM, la Chambre de céans ne peut que constater que les conditions de l'art. 86 al. 1 CP ne sont pas réalisées, le pronostic étant défavorable quant au risque de récidive. La libération conditionnelle sera ainsi refusée.</w:t>
      </w:r>
    </w:p>
    <w:p>
      <w:r>
        <w:rPr>
          <w:b/>
        </w:rPr>
        <w:t>E. 4</w:t>
      </w:r>
    </w:p>
    <w:p>
      <w:r>
        <w:t>La Chambre de céans n'a pas à se prononcer sur la demande de transfert en milieu ouvert à E______ ou son transfert en France pour finir de purger sa peine, faute de décision préalable sujette à recours de l'instance inférieure.</w:t>
      </w:r>
    </w:p>
    <w:p>
      <w:r>
        <w:rPr>
          <w:b/>
        </w:rPr>
        <w:t>E. 5</w:t>
      </w:r>
    </w:p>
    <w:p>
      <w:r>
        <w:t>Justifié, le jugement querellé sera donc confirmé.</w:t>
      </w:r>
    </w:p>
    <w:p>
      <w:r>
        <w:rPr>
          <w:b/>
        </w:rPr>
        <w:t>E. 6</w:t>
      </w:r>
    </w:p>
    <w:p>
      <w:r>
        <w:t>Le recourant, qui succombe, supportera les frais envers l'État, qui comprendront un émolument de CHF 800.- (art. 428 al. 1 CPP et 13 al. 1 du Règlement fixant le tarif des frais en matière pénale, RTFMP ; E 4 10.03). * * * * *</w:t>
      </w:r>
    </w:p>
    <w:p>
      <w:r>
        <w:t>- 8/9 - PM/1051/2020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