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ACPR/703/2024 vom 28. August 2024</w:t>
      </w:r>
    </w:p>
    <w:p>
      <w:r>
        <w:t>GE Cour de justice, 2024-08-28, FR</w:t>
      </w:r>
    </w:p>
    <w:p>
      <w:r>
        <w:rPr>
          <w:b/>
        </w:rPr>
        <w:t xml:space="preserve">Quelle: </w:t>
      </w:r>
      <w:r>
        <w:t>https://mcp.opencaselaw.ch/entscheid/ge_gerichte_ACPR_703_2024</w:t>
      </w:r>
    </w:p>
    <w:p>
      <w:r>
        <w:t>FR: GE_GERICHTE ACPR/703/2024 du 28 août 2024</w:t>
      </w:r>
    </w:p>
    <w:p>
      <w:r>
        <w:t>IT: GE_GERICHTE ACPR/703/2024 del 28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voit une violation de son droit d'être entendu au motif que le TMC n'a pas tenu compte de ses arguments. Or, le fait que le premier juge n’ait pas réfuté point par point les objections présentées par écrit par le recourant n’est pas déterminant, puisqu’il pouvait se limiter à se prononcer sur les faits, moyens de preuve et griefs qu’il tenait pour pertinents (ATF 142 II 154 consid. 4.2). Même si cette motivation n’est pas celle que souhaitait le recourant, aucune violation du droit d'être entendu ne peut être constatée (ibid.). Le grief est par conséquent rejeté.</w:t>
      </w:r>
    </w:p>
    <w:p>
      <w:r>
        <w:rPr>
          <w:b/>
        </w:rPr>
        <w:t>E. 3</w:t>
      </w:r>
    </w:p>
    <w:p>
      <w:r>
        <w:t>Le recourant considère qu'il ne peut pas être fortement soupçonné d'avoir commis un crime ou un délit dès lors qu'il était irresponsable au moment des faits. Il ne pouvait donc pas être condamné à une peine, ni même à une mesure privative de liberté, puisque, selon l'expertise psychiatrique, seul un traitement ambulatoire était préconisé.</w:t>
      </w:r>
    </w:p>
    <w:p>
      <w:r>
        <w:rPr>
          <w:b/>
        </w:rPr>
        <w:t>E. 3.1</w:t>
      </w:r>
    </w:p>
    <w:p>
      <w:r>
        <w:t>Une mesure de détention provisoire ou pour des motifs de sûreté n'est compatible avec la liberté personnelle (art. 10 al. 2 Cst. et 5 CEDH) que si elle repose sur une base légale (art. 31 al. 1 et 36 al. 1 Cst.), soit en l'espèce l'art. 221 CPP. Elle doit en outre correspondre à un intérêt public et respecter le principe de la proportionnalité (art. 36 al. 2 et 3 Cst.;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(art. 221 al. 1 CPP), c'est-à-dire des raisons plausibles de le soupçonner d'avoir commis une infraction.</w:t>
      </w:r>
    </w:p>
    <w:p>
      <w:r>
        <w:rPr>
          <w:b/>
        </w:rPr>
        <w:t>E. 3.2</w:t>
      </w:r>
    </w:p>
    <w:p>
      <w:r>
        <w:t>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3.3</w:t>
      </w:r>
    </w:p>
    <w:p>
      <w:r>
        <w:t>Selon le droit des sanctions, une peine ou une mesure privative de liberté peuvent être envisagées nonobstant une irresponsabilité pénale totale ou partielle (art. 19 CP) ; le degré de culpabilité pénale constaté par le juge du fond a une</w:t>
      </w:r>
    </w:p>
    <w:p>
      <w:r>
        <w:t>- 6/11 - P/19944/2023 incidence sur la peine (art. 47 CP). Même en cas d'absence totale de culpabilité, une mesure thérapeutique institutionnelle n'est pas exclue (art. 59 à 61 cum 19 al. 3 CP ; cf également art. 263 cum 19 al. 4 CP). Par conséquent, la détention provisoire et la détention pour des motifs de sûreté peuvent être autorisées même s'il y a des chances qu'en raison de l'état du prévenu au moment de l'infraction, aucune culpabilité ni faute ne peuvent lui être imputées. La loi prévoit d'ailleurs expressément l'exécution anticipée de mesures en milieu hospitalier (art. 236 al. 1 CPP) comme type de détention admissible dans le cadre de la procédure pénale (ATF 143 IV 330 consid. 2.2.). La condition des charges suffisantes que le juge de la détention doit examiner se rapporte principalement à la typicité et à l'illicéité des actes constitutifs d'un crime ou d'un délit (art. 221 al. 1 CPP). En revanche, l'existence et l'étendue de la culpabilité, ainsi que la sanction adaptée à la faute ou objectivement nécessaire, doivent en principe être examinées par le juge du fond. Il n'en va autrement que si, lors de l'examen de la détention, il apparaît d'emblée qu'une peine ou une mesure entraînant une privation de liberté sont exclues (ATF 143 IV 330 consid. 2.2).</w:t>
      </w:r>
    </w:p>
    <w:p>
      <w:r>
        <w:rPr>
          <w:b/>
        </w:rPr>
        <w:t>E. 3.4</w:t>
      </w:r>
    </w:p>
    <w:p>
      <w:r>
        <w:t>En l'occurrence, contrairement à ce qu'affirme le recourant, la condition relative à l'existence de charges suffisantes est réalisée. Il existe, en effet, de forts soupçons que le recourant ait séquestré et enlevé, subsidiairement sous forme de tentative, un enfant de 3 ans, dans les circonstances décrites notamment par les témoins. Il sera ainsi renvoyé, en tant que de besoin, à la motivation adoptée par le premier juge sur ce point (art. 82 al. 4 CPP ; ACPR/747/2020 du 22 octobre 2020 consid. 2 et les références). Le fait qu’il ne soit, cas échéant, pas punissable en raison de son irresponsabilité ne rend pas son comportement licite, les conditions objectives des infractions reprochées semblant remplies. Partant, il peut être placé en détention provisoire au sens de l'art. 221 CPP. Les questions en lien avec la nécessité d'une mesure au sens des art. 56 ss CP, ne ressortent pas de la compétence de la Chambre de céans, étant souligné que le prononcé d'une mesure institutionnelle, à tout le moins dans un premier temps, ne paraît pas d'emblée exclu, au vu du trouble grave dont souffre le recourant et de ses précédentes difficultés à rester compliant à son traitement. Le grief du recourant tombe ainsi à faux.</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w:t>
      </w:r>
    </w:p>
    <w:p>
      <w:r>
        <w:t>- 7/11 - P/19944/2023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risque de fuite est patent. Le recourant, qui était seulement de passage à Genève, est de nationalité française et domicilié en France, pays dans lequel il a toutes ses attaches. Ce risque de fuite justifie à lui seul le refus de mise en liberté du recourant.</w:t>
      </w:r>
    </w:p>
    <w:p>
      <w:r>
        <w:rPr>
          <w:b/>
        </w:rPr>
        <w:t>E. 5</w:t>
      </w:r>
    </w:p>
    <w:p>
      <w:r>
        <w:t>Il sera toutefois relevé que le risque de récidive est également réalisé.</w:t>
      </w:r>
    </w:p>
    <w:p>
      <w:r>
        <w:rPr>
          <w:b/>
        </w:rPr>
        <w:t>E. 5.1</w:t>
      </w:r>
    </w:p>
    <w:p>
      <w:r>
        <w:t>Selon l'art. 221 al. 1bis CPP, la détention provisoire peut exceptionnellement être ordonnée lorsqu'il y a lieu de craindre que le prévenu est fortement soupçonné d'avoir porté gravement atteinte à l'intégrité physique, psychique ou sexuelle d'autrui en commettant un crime ou un délit grave (let. a); il y a un danger sérieux et imminent qu'il commette un crime grave du même genre (let. b). Le but de cette nouvelle réglementation entrée en vigueur le 1er janvier 2024 est de codifier la jurisprudence du Tribunal fédéral en la matière (ATF 146 IV 136 consid. 5.2. 143 IV 9 consid. 2.3.1 ; 137 IV 13 consid. 3-4) et qui permettait déjà de tenir compte d'un risque de récidive pour ordonner la détention, même si le prévenu n'avait pas été condamné antérieurement (Message du Conseil fédéral précité, p. 6395 ; arrêt du Tribunal fédéral 7B_1025/2023 du 23 janvier 2024 consid. 3.2). Il est ainsi possible de se fonder sur les infractions faisant l'objet de la procédure pénale en cours pour retenir un risque de récidive, si le prévenu est fortement soupçonné – avec une probabilité confinant à la certitude – de les avoirs commises (ATF 143 IV 9 consid. 2.3.1).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w:t>
      </w:r>
    </w:p>
    <w:p>
      <w:r>
        <w:rPr>
          <w:b/>
        </w:rPr>
        <w:t>E. 5.2</w:t>
      </w:r>
    </w:p>
    <w:p>
      <w:r>
        <w:t>Le recourant – qui souffre de schizophrénie – ne saurait être suivi lorsqu'il affirme que le risque de récidive ne serait que théorique. Tout d'abord, ce risque – établi par les experts – se rapporte à des faits particulièrement graves, notamment de violence au préjudice d'un enfant de trois ans. Ensuite, le recourant a besoin d'un</w:t>
      </w:r>
    </w:p>
    <w:p>
      <w:r>
        <w:t>- 8/11 - P/19944/2023 suivi psychothérapeutique et d'un traitement médicamenteux de longue durée pour éviter la commission d'actes semblables, étant souligné que c'est seulement en cas de compliance que le risque de récidive peut être qualifié de faible à modéré.</w:t>
      </w:r>
    </w:p>
    <w:p>
      <w:r>
        <w:rPr>
          <w:b/>
        </w:rPr>
        <w:t>E. 6</w:t>
      </w:r>
    </w:p>
    <w:p>
      <w:r>
        <w:t>Le recourant soutient que des mesures de substitution doivent être prononcées.</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w:t>
      </w:r>
    </w:p>
    <w:p>
      <w:r>
        <w:rPr>
          <w:b/>
        </w:rPr>
        <w:t>E. 6.2</w:t>
      </w:r>
    </w:p>
    <w:p>
      <w:r>
        <w:t>Dans ce contexte, même si le recourant adhère désormais à sa prise en charge et annonce vouloir la continuer à sa sortie en milieu psychiatrique ouvert, cet élément n'est pas suffisant sous l’angle des risques de fuite et de récidive retenus ci-dessus. En ce qui concerne la suggestion des experts de réaliser un traitement ambulatoire en France, elle ne peut être prise en considération, aucune autorité pénale cantonale ou administrative n'étant habilitée à ordonner l'exécution d'une mesure à l'étranger.</w:t>
      </w:r>
    </w:p>
    <w:p>
      <w:r>
        <w:rPr>
          <w:b/>
        </w:rPr>
        <w:t>E. 7</w:t>
      </w:r>
    </w:p>
    <w:p>
      <w:r>
        <w:t>Au vu de ce qui précède, point n'est besoin d'examiner si s'y ajoute un risque de collusion (arrêt du Tribunal fédéral 7B_188/2024 du 12 mars 2024 consid. 6.3.1).</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t>- 9/11 - P/19944/2023</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- 10/11 - P/19944/2023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