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ACPR/703/2020 vom 11. September 2020</w:t>
      </w:r>
    </w:p>
    <w:p>
      <w:r>
        <w:t>GE Cour de justice, 2020-09-11, FR</w:t>
      </w:r>
    </w:p>
    <w:p>
      <w:r>
        <w:rPr>
          <w:b/>
        </w:rPr>
        <w:t xml:space="preserve">Quelle: </w:t>
      </w:r>
      <w:r>
        <w:t>https://mcp.opencaselaw.ch/entscheid/ge_gerichte_ACPR_703_2020</w:t>
      </w:r>
    </w:p>
    <w:p>
      <w:r>
        <w:t>FR: GE_GERICHTE ACPR/703/2020 du 11 septembre 2020</w:t>
      </w:r>
    </w:p>
    <w:p>
      <w:r>
        <w:t>IT: GE_GERICHTE ACPR/703/2020 del 11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s'y attarder, d'autant moins qu'il n'a pas contesté être au courant de l'obligation de quitter le territoire suisse.</w:t>
      </w:r>
    </w:p>
    <w:p>
      <w:r>
        <w:rPr>
          <w:b/>
        </w:rPr>
        <w:t>E. 3</w:t>
      </w:r>
    </w:p>
    <w:p>
      <w:r>
        <w:t>Le recourant conteste tout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3.2</w:t>
      </w:r>
    </w:p>
    <w:p>
      <w:r>
        <w:t>En l'espèce, quoi qu'en dise le recourant, le risque de réitération est particulièrement concret et élevé, pour reposer non seulement sur les condamnations inscrites à son casier judiciaire, qui sont de même nature que la rupture de ban actuellement reprochée, mais sur l'allégation – non étayée – qu'il aurait eu un rendez- vous de dentiste, allégation laissant craindre qu'il n'entend, en réalité, pas se plier à l'injonction de quitter la Suisse, puisqu'il a déclaré au Ministère public avoir honoré ce rendez-vous la veille de son appréhension.</w:t>
      </w:r>
    </w:p>
    <w:p>
      <w:r>
        <w:rPr>
          <w:b/>
        </w:rPr>
        <w:t>E. 4</w:t>
      </w:r>
    </w:p>
    <w:p>
      <w:r>
        <w:t>Le risque de réitération étant réalisé, il ne serait pas nécessaire de procéder, en sus, à l'examen du danger de fuite retenu par le premier juge. Cela étant, ce risque est manifeste, car une plongée du recourant dans la clandestinité (qui participe du risque de fuite, cf. ATF 143 IV 160 consid. 4.3 p. 167) est à redouter. Sans titre de séjour,</w:t>
      </w:r>
    </w:p>
    <w:p>
      <w:r>
        <w:t>- 4/6 - P/16496/2020 sans emploi, sans domicile connu, le recourant, s'il était libéré, pourrait être tenté de se soustraire aux actes ultérieurs de la procédure, et notamment à son jugement, qui ne saurait tarder, puisque l'instruction est close ou sur le point de l'être.</w:t>
      </w:r>
    </w:p>
    <w:p>
      <w:r>
        <w:rPr>
          <w:b/>
        </w:rPr>
        <w:t>E. 5</w:t>
      </w:r>
    </w:p>
    <w:p>
      <w:r>
        <w:t>Pour le même motif, le principe de la proportionnalité est respecté. Sa violation n'est d'ailleurs pas invoquée, sauf à l'inférer d'une prétendue brièveté de la période pénale. Or, l'appréhension du recourant, le 10 septembre 2020, est due au hasard, et non à la cessation de son activité délictuelle, i.e. de son séjour au mépris d'une expulsion judiciaire. La durée de sa détention, telle qu'ordonnée par le premier juge, tient compte de la peine à laquelle le recourant est concrètement exposé.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r>
        <w:t>- 5/6 - P/16496/2020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