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ACPR/699/2024 vom 14. November 2023</w:t>
      </w:r>
    </w:p>
    <w:p>
      <w:r>
        <w:t>GE Cour de justice, 2023-11-14, FR</w:t>
      </w:r>
    </w:p>
    <w:p>
      <w:r>
        <w:rPr>
          <w:b/>
        </w:rPr>
        <w:t xml:space="preserve">Quelle: </w:t>
      </w:r>
      <w:r>
        <w:t>https://mcp.opencaselaw.ch/entscheid/ge_gerichte_ACPR_699_2024</w:t>
      </w:r>
    </w:p>
    <w:p>
      <w:r>
        <w:t>FR: GE_GERICHTE ACPR/699/2024 du 14 novembre 2023</w:t>
      </w:r>
    </w:p>
    <w:p>
      <w:r>
        <w:t>IT: GE_GERICHTE ACPR/699/2024 del 14 novembre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critique la décision du Ministère public de ne pas entrer en matière sur sa plainte.</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 ; DCPR/104/2011 du 11 mai 2011).</w:t>
      </w:r>
    </w:p>
    <w:p>
      <w:r>
        <w:rPr>
          <w:b/>
        </w:rPr>
        <w:t>E. 2.2</w:t>
      </w:r>
    </w:p>
    <w:p>
      <w:r>
        <w:t>L'art. 217 CP punit, sur plainte, quiconque ne fournit pas les aliments ou les subsides qu'il doit en vertu du droit de la famille, quoiqu'il en ait les moyens ou puisse les avoir.</w:t>
      </w:r>
    </w:p>
    <w:p>
      <w:r>
        <w:t>- 5/7 - P/22727/2023 D'un point de vue objectif, l'obligation d'entretien est violée lorsque le débiteur ne fournit pas intégralement, à temps et à disposition de la personne habilitée à la recevoir, la prestation d'entretien qu'il doit en vertu du droit de la famille (arrêts du Tribunal fédéral 6B_714/2019 du 22 août 2019 consid. 2.2; 6B_608/2017 du 12 avril 2018 consid. 4.1 et la référence citée).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p. 90). Lorsque le montant de la contribution d'entretien a été fixé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w:t>
      </w:r>
    </w:p>
    <w:p>
      <w:r>
        <w:rPr>
          <w:b/>
        </w:rPr>
        <w:t>E. 4</w:t>
      </w:r>
    </w:p>
    <w:p>
      <w:r>
        <w:t>Il résulte de ce qui précède que l'ordonnance querellée doit être confirmée.</w:t>
      </w:r>
    </w:p>
    <w:p>
      <w:r>
        <w:rPr>
          <w:b/>
        </w:rPr>
        <w:t>E. 5</w:t>
      </w:r>
    </w:p>
    <w:p>
      <w:r>
        <w:t>La recourante, qui succombe, supportera les frais envers l'État, qui comprendront un émolument fixé en totalité à CHF 800.- (art. 428 al. 1 CPP et 13 al. 1 du Règlement fixant le tarif des frais en matière pénale, RTFMP ; E 4 10.03). * * * * *</w:t>
      </w:r>
    </w:p>
    <w:p>
      <w:r>
        <w:t>- 6/7 - P/22727/2023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