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ACPR/698/2024 vom 25. Juni 2024</w:t>
      </w:r>
    </w:p>
    <w:p>
      <w:r>
        <w:t>GE Cour de justice, 2024-06-25, FR</w:t>
      </w:r>
    </w:p>
    <w:p>
      <w:r>
        <w:rPr>
          <w:b/>
        </w:rPr>
        <w:t xml:space="preserve">Quelle: </w:t>
      </w:r>
      <w:r>
        <w:t>https://mcp.opencaselaw.ch/entscheid/ge_gerichte_ACPR_698_2024</w:t>
      </w:r>
    </w:p>
    <w:p>
      <w:r>
        <w:t>FR: GE_GERICHTE ACPR/698/2024 du 25 juin 2024</w:t>
      </w:r>
    </w:p>
    <w:p>
      <w:r>
        <w:t>IT: GE_GERICHTE ACPR/698/2024 del 25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w:t>
      </w:r>
    </w:p>
    <w:p>
      <w:r>
        <w:rPr>
          <w:b/>
        </w:rPr>
        <w:t>E. 2.2</w:t>
      </w:r>
    </w:p>
    <w:p>
      <w:r>
        <w:t>Partant, le recourant ne peut se plaindre de ne pas avoir été auditionné par l'autorité intimée avant le prononcé de l'ordonnance querellée, étant précisé qu'il avait, lors du dépôt de sa plainte, été entendu par la police. Son grief formel est donc infondé.</w:t>
      </w:r>
    </w:p>
    <w:p>
      <w:r>
        <w:rPr>
          <w:b/>
        </w:rPr>
        <w:t>E. 3</w:t>
      </w:r>
    </w:p>
    <w:p>
      <w:r>
        <w:t>Le recourant reproche au Ministère public de ne pas être entré en matière sur sa plainte.</w:t>
      </w:r>
    </w:p>
    <w:p>
      <w:r>
        <w:t>- 4/6 - P/9606/2020</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Le ministère public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En l'espèce, le recourant soupçonne son ex-compagne d'avoir conclu des contrats d'achats à son nom (à lui) et sans son accord, et/ou d'avoir signé une reconnaissance de dette en son nom (à lui), ce que l'intéressée conteste. À la suite du dépôt de plainte, le Ministère public a décidé de ne pas entrer en matière sur la plainte du recourant, au motif qu'il n'existait pas de soupçon suffisant d'une infraction commise par la mise en cause. En particulier, la comparaison de l'écriture de cette dernière avec celle figurant sur la reconnaissance de dette ne montrait pas de similitudes évidentes. Le recourant n'a pas contesté cette décision. Si la lettre manuscrite de reconnaissance de dette, prétendument rédigée et signée par la mise en cause et produite par le recourant, a ensuite justifié la réouverture de la procédure (art. 323 CPP), l'intéressée, entendue à cette occasion, a nié tant les faits dénoncés que d'être l'auteure de cette lettre. Hormis les convictions du recourant, le dossier n'offre aucun élément probant pour conclure à la fausseté de ces dénégations. En définitive, la situation est donc identique à celle qui prévalait au moment où la précédente ordonnance de non-entrée en matière a été rendue, en ce sens qu'il n'existe pas de prévention pénale suffisante contre la mise en cause. Tout au plus, les faits dénoncés relèvent-ils d'un litige civil.</w:t>
      </w:r>
    </w:p>
    <w:p>
      <w:r>
        <w:rPr>
          <w:b/>
        </w:rPr>
        <w:t>E. 4</w:t>
      </w:r>
    </w:p>
    <w:p>
      <w:r>
        <w:t>Justifiée, l'ordonnance querellée sera donc confirmée. Le recours, qui s'avère infondé, pouvait être d'emblée traité sans échange d'écritures ni (art. 390 al. 2 et 5 a contrario CPP).</w:t>
      </w:r>
    </w:p>
    <w:p>
      <w:r>
        <w:rPr>
          <w:b/>
        </w:rPr>
        <w:t>E. 5</w:t>
      </w:r>
    </w:p>
    <w:p>
      <w:r>
        <w:t>Le recourant, qui succombe, supportera les frais envers l'État, fixés en intégralité à CHF 800.- (art. 428 al. 1 CPP et 13 al. 1 du Règlement fixant le tarif des frais en matière pénale, RTFMP ; E 4 10.03). * * * * *</w:t>
      </w:r>
    </w:p>
    <w:p>
      <w:r>
        <w:t>- 5/6 - P/9606/2020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