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ACPR/697/2023 vom 27. Juni 2023</w:t>
      </w:r>
    </w:p>
    <w:p>
      <w:r>
        <w:t>GE Cour de justice, 2023-06-27, FR</w:t>
      </w:r>
    </w:p>
    <w:p>
      <w:r>
        <w:rPr>
          <w:b/>
        </w:rPr>
        <w:t xml:space="preserve">Quelle: </w:t>
      </w:r>
      <w:r>
        <w:t>https://mcp.opencaselaw.ch/entscheid/ge_gerichte_ACPR_697_2023</w:t>
      </w:r>
    </w:p>
    <w:p>
      <w:r>
        <w:t>FR: GE_GERICHTE ACPR/697/2023 du 27 juin 2023</w:t>
      </w:r>
    </w:p>
    <w:p>
      <w:r>
        <w:t>IT: GE_GERICHTE ACPR/697/2023 del 27 giugno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En tant que le recourant entend se plaindre de manquements, voire dysfonctionnements, au sein de l'Office du Registre foncier, son recours est irrecevable, faute de compétence de la Chambre de céans pour en connaître. Son grief contre le refus du Ministère public d'entrer en matière concernant la plainte de</w:t>
      </w:r>
    </w:p>
    <w:p>
      <w:r>
        <w:t>- 4/7 - P/5355/2023 D______ est également irrecevable, dès lors qu'il n'a pas d'intérêt juridiquement protégé à la modification d'une décision ayant mis un terme à la procédure pénale dirigée contre lui (art. 382 al. 1 CPP et ACPR/89/2023 du 7 février 2023). La voie du recours n'est en effet pas ouverte pour améliorer ou changer la motivation d'une décision (ACPR/547/2021 du 18 août 2021).</w:t>
      </w:r>
    </w:p>
    <w:p>
      <w:r>
        <w:rPr>
          <w:b/>
        </w:rPr>
        <w:t>E. 2.2</w:t>
      </w:r>
    </w:p>
    <w:p>
      <w:r>
        <w:t>Pour le surplus,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refusant d'entrer en matière sur sa plainte pénale contre B______ (art. 382 al. 1 CPP).</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de se prononcer (ATF 143 IV 241 consid. 2.2.1; 138 IV 86 consid. 4.1.2).</w:t>
      </w:r>
    </w:p>
    <w:p>
      <w:r>
        <w:rPr>
          <w:b/>
        </w:rPr>
        <w:t>E. 3.2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La calomnie (art. 174 CP) est une forme qualifiée de diffamation, dont elle se distingue par le fait que les allégations propagées sont fausses (arrêt du Tribunal fédéral 6B_1215/2020 du 22 avril 2021 consid. 3.1).</w:t>
      </w:r>
    </w:p>
    <w:p>
      <w:r>
        <w:t>- 5/7 - P/5355/2023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Pour qu'il y ait diffamation ou calomnie, il faut encore que l'auteur s'adresse à un tiers. Est en principe considérée comme telle toute personne autre que l'auteur et l'individu visé par les propos litigieux (ATF 145 IV 462 consid. 4.3.3).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w:t>
      </w:r>
    </w:p>
    <w:p>
      <w:r>
        <w:rPr>
          <w:b/>
        </w:rPr>
        <w:t>E. 3.3</w:t>
      </w:r>
    </w:p>
    <w:p>
      <w:r>
        <w:t>En l'espèce, le recourant estime que la mise en cause, en l'accusant faussement d'avoir tenu des propos déplacés de nature sexuelle à l'encontre de sa collègue, s'est rendue coupable d'infractions contre l'honneur.</w:t>
      </w:r>
    </w:p>
    <w:p>
      <w:r>
        <w:t>Cela étant, il résulte des déclarations de D______ – dont rien ne permet de douter de leur crédibilité – que le recourant aurait effectivement tenu de tels propos à son endroit. En revanche, il ne ressort pas du dossier – et le recourant ne l'étaye nullement – qu'une autre collaboratrice aurait affirmé que les déclarations de la précitée et de la mise en cause n'étaient pas conformes à la vérité. En tout état de cause, l'on ne distingue pas dans les démarches de la mise en cause de volonté de porter atteinte à la considération du recourant, mais plutôt de porter à la connaissance de son supérieur hiérarchique – soit un tiers soumis à une obligation de secret de fonction – les propos inappropriés qu'elle avait entendus. Une intention de nuire fait dès lors manifestement défaut. C'est donc à bon droit que le Ministère public a décidé de ne pas entrer en matière sur les faits dénoncés de diffamation et a fortiori de calomnie.</w:t>
      </w:r>
    </w:p>
    <w:p>
      <w:r>
        <w:rPr>
          <w:b/>
        </w:rPr>
        <w:t>E. 4</w:t>
      </w:r>
    </w:p>
    <w:p>
      <w:r>
        <w:t>Justifiée, l'ordonnance querellée sera confirmée.</w:t>
      </w:r>
    </w:p>
    <w:p>
      <w:r>
        <w:rPr>
          <w:b/>
        </w:rPr>
        <w:t>E. 5</w:t>
      </w:r>
    </w:p>
    <w:p>
      <w:r>
        <w:t>Le recourant, qui succombe, supportera les frais envers l'État, qui seront fixés en totalité à CHF 1'200.- (art. 428 al. 1 CPP et 13 al. 1 du Règlement fixant le tarif des frais en matière pénale, RTFMP; E 4 10.03).</w:t>
      </w:r>
    </w:p>
    <w:p>
      <w:r>
        <w:t>- 6/7 - P/5355/2023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