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ACPR/697/2020 vom 20. Mai 2020</w:t>
      </w:r>
    </w:p>
    <w:p>
      <w:r>
        <w:t>GE Cour de justice, 2020-05-20, FR</w:t>
      </w:r>
    </w:p>
    <w:p>
      <w:r>
        <w:rPr>
          <w:b/>
        </w:rPr>
        <w:t xml:space="preserve">Quelle: </w:t>
      </w:r>
      <w:r>
        <w:t>https://mcp.opencaselaw.ch/entscheid/ge_gerichte_ACPR_697_2020</w:t>
      </w:r>
    </w:p>
    <w:p>
      <w:r>
        <w:t>FR: GE_GERICHTE ACPR/697/2020 du 20 mai 2020</w:t>
      </w:r>
    </w:p>
    <w:p>
      <w:r>
        <w:t>IT: GE_GERICHTE ACPR/697/2020 del 20 maggio 2020</w:t>
      </w:r>
    </w:p>
    <w:p>
      <w:pPr>
        <w:pStyle w:val="Heading2"/>
      </w:pPr>
      <w:r>
        <w:t>Erwägungen</w:t>
      </w:r>
    </w:p>
    <w:p>
      <w:r>
        <w:rPr>
          <w:b/>
        </w:rPr>
        <w:t>E. 1</w:t>
      </w:r>
    </w:p>
    <w:p>
      <w:r>
        <w:t>Le recours est recevable pour avoir été déposé dans les délai et forme utiles (art. 385 al. 1, 390 al. 1 et 396 al. 1 CPP), concerner une ordonnance de non-entrée en matière, décision sujette à contestation auprès de la Chambre de céans (art. 310 al. 2 cum 322 al. 2 et 393 al. 1 let. a CPP; art. 128 LOJ/GE),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demande l'annulation de la décision du Ministère public faute pour se dernier de lui avoir accordé une prolongation de délai pour faire valoir ses réquisitions de preuves.</w:t>
      </w:r>
    </w:p>
    <w:p>
      <w:r>
        <w:rPr>
          <w:b/>
        </w:rPr>
        <w:t>E. 2.1</w:t>
      </w:r>
    </w:p>
    <w:p>
      <w:r>
        <w:t>L'art. 92 CPP prévoit que les autorités peuvent prolonger les délais ou ajourner les termes qu'elles ont fixés, d'office ou sur demande. La demande doit être présentée avant l'expiration des délais et être suffisamment motivée. 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(cf. arrêt du Tribunal fédéral 6B_229/2015 du 30 avril 2015 consid. 1.1 et la doctrine citée).</w:t>
      </w:r>
    </w:p>
    <w:p>
      <w:r>
        <w:rPr>
          <w:b/>
        </w:rPr>
        <w:t>E. 2.2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w:t>
      </w:r>
    </w:p>
    <w:p>
      <w:r>
        <w:t>- 7/10 - P/23326/2019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2.3</w:t>
      </w:r>
    </w:p>
    <w:p>
      <w:r>
        <w:t>En l'espèce, force est de constater que la demande de prolongation, à laquelle le Ministère public aurait pu donner une suite favorable, n'a pas été reçue dans le délai imparti ni avant qu'il ne rende sa décision. L'éventuelle violation du droit d'être entendu – qui serait réparée dans le cadre du recours – n'a pas besoin d'être tranchée, vu l'issue du recours. Ce grief sera dès lors rejeté.</w:t>
      </w:r>
    </w:p>
    <w:p>
      <w:r>
        <w:rPr>
          <w:b/>
        </w:rPr>
        <w:t>E. 3</w:t>
      </w:r>
    </w:p>
    <w:p>
      <w:r>
        <w:t>juillet 2018 consid. 2.1). Une décision de classement partiel n'est envisageable que si elle porte sur des éléments ou faits qui se prêtent à un traitement distinct de ceux qui doivent/devront être jugés (ATF 144 IV 362 consid. 1.3 et 1.4; arrêt du Tribunal fédéral 6B_819/2018 du 25 janvier 2019 consid. 1.3.2 in fine).</w:t>
      </w:r>
    </w:p>
    <w:p>
      <w:r>
        <w:rPr>
          <w:b/>
        </w:rPr>
        <w:t>E. 3.1</w:t>
      </w:r>
    </w:p>
    <w:p>
      <w:r>
        <w: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 du Tribunal fédéral 6B_193/2018 du</w:t>
      </w:r>
    </w:p>
    <w:p>
      <w:r>
        <w:rPr>
          <w:b/>
        </w:rPr>
        <w:t>E. 3.1.2</w:t>
      </w:r>
    </w:p>
    <w:p>
      <w:r>
        <w:t>La légitime défense (art. 15 CP)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 notamment examiner la gravité de l'agression, les biens juridiques menacés par celle- 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1er juillet 2015 consid. 3.2 et les références citées). Un refus de renvoyer un prévenu en jugement fondé sur l'admission des conditions posées à l'art. 16 al. 2 CP ne paraît possible que s'il n'y a plus de doutes sur les circonstances dans lesquelles l'intéressé a agi (L. MOREILLON / A. PAREIN- REYMOND, Petit commentaire du Code de procédure pénale, 2ème éd. 2016, n. 15 ad art. 319).</w:t>
      </w:r>
    </w:p>
    <w:p>
      <w:r>
        <w:t>- 9/10 - P/23326/2019</w:t>
      </w:r>
    </w:p>
    <w:p>
      <w:r>
        <w:rPr>
          <w:b/>
        </w:rPr>
        <w:t>E. 3.2</w:t>
      </w:r>
    </w:p>
    <w:p>
      <w:r>
        <w:t>En l'espèce, le Ministère public retient que l'intimée a menacé le recourant avec un couteau – même s'il émet un doute sur le fait que ce dernier ait été alarmé ou effrayé, dès lors qu'il avait eu le réflexe de prendre une photo –, et qu'elle a agi en état de légitime défense, le recourant l'ayant agressée.</w:t>
      </w:r>
    </w:p>
    <w:p>
      <w:r>
        <w:t>Statuer sur cet aspect implique de déterminer si l'intéressée a réagi à une attaque, préexistante ou imminente, le cas échéant de manière proportionnée (art. 15 CP), respectivement si elle se trouvait dans un état de défense excusable (art. 16 al. 2 CP).</w:t>
      </w:r>
    </w:p>
    <w:p>
      <w:r>
        <w:t>Or, le plaignant conteste toute agression physique, prémisse nécessaire à l'application des deux bases légales précitées. Il a fait opposition à l'ordonnance pénale le condamnant pour lésions corporelles, de sorte que le Tribunal de police – si le Ministère public maintient son ordonnance pénale – devra se prononcer sur cette contestation. La Chambre de céans ne saurait apprécier les éléments du dossier sans se substituer à cette autorité, au risque de rendre une décision contradictoire visant à évaluer dans quelles circonstances chacun des deux protagonistes a (ré)agi. Par conséquent, la question de la légitime défense (excusable) ne peut, en l'état, être résolue. Les conditions pour le prononcé d'un classement ne sont donc pas réunies, les problématiques de l'attaque, ayant donné lieu à l'ordonnance pénale, et de la riposte, qui a fait l'objet de la décision querellée, ne pouvant faire l'objet de décisions séparées, vu le même complexe de faits. Aussi, l'infraction de menace étant admise par le Ministère public, il ne pouvait, à ce stade, retenir la légitime défense alors que l'attaque, sous la forme de lésions corporelles cristallisées dans l'ordonnance pénale, est contestée. La cause doit, dès lors, être retournée au Procureur pour qu'il instruise, au besoin, les réquisitions de preuve sollicitées et renvoie B______ en jugement du chef de menaces, parallèlement à l'ordonnance pénale s'il la maintient. Le Tribunal pourra alors examiner si l'intimée se trouvait à cette/ces occasion(s) dans un état de légitime défense (excusable).</w:t>
      </w:r>
    </w:p>
    <w:p>
      <w:r>
        <w:rPr>
          <w:b/>
        </w:rPr>
        <w:t>E. 4</w:t>
      </w:r>
    </w:p>
    <w:p>
      <w:r>
        <w:t>En conclusion, le recours se révèle fondé. La décision attaquée sera annulée, en tant qu'elle porte sur la plainte déposée par le recourant contre sa femme pour menace et le Procureur prié de procéder de la manière sus-décrite.</w:t>
      </w:r>
    </w:p>
    <w:p>
      <w:r>
        <w:rPr>
          <w:b/>
        </w:rPr>
        <w:t>E. 5</w:t>
      </w:r>
    </w:p>
    <w:p>
      <w:r>
        <w:t>Le recourant obtient gain de cause. Les frais de la procédure de recours seront donc laissés à la charge de l'État (art. 428 al. 4 CPP).</w:t>
      </w:r>
    </w:p>
    <w:p>
      <w:r>
        <w:rPr>
          <w:b/>
        </w:rPr>
        <w:t>E. 6</w:t>
      </w:r>
    </w:p>
    <w:p>
      <w:r>
        <w:t>Le recourant, partie plaignante représentée par un conseil, n'a pas chiffré ni justifié de prétentions en indemnité au sens de l'art. 433 al. 2 CPP, applicable en instance de recours (art. 436 al. 1 CPP), si bien qu'il n'y a pas à lui en allouer (art. 433 al. 2, 2ème phrase, CPP; arrêt du Tribunal fédéral 6B_1345/2016 du 30 novembre 2017 consid. 7). * * * * *</w:t>
      </w:r>
    </w:p>
    <w:p>
      <w:r>
        <w:t>- 10/10 - P/23326/2019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