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ACPR/696/2024 vom 2. Februar 2024</w:t>
      </w:r>
    </w:p>
    <w:p>
      <w:r>
        <w:t>GE Cour de justice, 2024-02-02, FR</w:t>
      </w:r>
    </w:p>
    <w:p>
      <w:r>
        <w:rPr>
          <w:b/>
        </w:rPr>
        <w:t xml:space="preserve">Quelle: </w:t>
      </w:r>
      <w:r>
        <w:t>https://mcp.opencaselaw.ch/entscheid/ge_gerichte_ACPR_696_2024</w:t>
      </w:r>
    </w:p>
    <w:p>
      <w:r>
        <w:t>FR: GE_GERICHTE ACPR/696/2024 du 2 février 2024</w:t>
      </w:r>
    </w:p>
    <w:p>
      <w:r>
        <w:t>IT: GE_GERICHTE ACPR/696/2024 del 2 febbraio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 a priori – un intérêt juridiquement protégé à la modification ou à l'annulation de la décision querellée (art. 382 al. 1 CPP).</w:t>
      </w:r>
    </w:p>
    <w:p>
      <w:r>
        <w:rPr>
          <w:b/>
        </w:rPr>
        <w:t>E. 2</w:t>
      </w:r>
    </w:p>
    <w:p>
      <w:r>
        <w:t>Dans un grief formel qu'il convient de traiter en premier, le recourant se plaint d'une motivation insuffisante de la décision attaquée.</w:t>
      </w:r>
    </w:p>
    <w:p>
      <w:r>
        <w:rPr>
          <w:b/>
        </w:rPr>
        <w:t>E. 2.1</w:t>
      </w:r>
    </w:p>
    <w:p>
      <w:r>
        <w:t>L'obligation de motiver, telle qu'elle découle du droit d'être entendu (art. 29 al. 2 Cst.; cf. aussi art. 3 al. 2 let. c et 107 CPP), est respectée lorsque le juge mentionne, au moins brièvement, les motifs qui l'ont guidé et sur lesquels il a fondé sa décision (ATF 147 IV 409 consid. 5.3.4; 146 II 335 consid. 5.1), de manière à ce que l'intéressé puisse se rendre compte de la portée de celle-ci et l'attaquer en connaissance de cause (ATF 143 IV 40 consid. 3.4.3; 141 IV 249 consid. 1.3.1; arrêt du Tribunal fédéral 6B_1127/2023 du 10 juin 2024 consid. 1.1). Il n'a toutefois pas</w:t>
      </w:r>
    </w:p>
    <w:p>
      <w:r>
        <w:t>- 4/8 - P/1533/2024 l'obligation d'exposer et de discuter tous les faits, moyens de preuve et griefs invoqués par les parties, mais peut au contraire se limiter à ceux qui lui paraissent pertinents (ATF 147 IV 249 consid. 2.4; 142 II 154 consid. 4.2). La motivation peut être implicite et résulter des différents considérants de la décision (ATF 141 V 557 consid. 3.2.1).</w:t>
      </w:r>
    </w:p>
    <w:p>
      <w:r>
        <w:rPr>
          <w:b/>
        </w:rPr>
        <w:t>E. 2.2</w:t>
      </w:r>
    </w:p>
    <w:p>
      <w:r>
        <w:t>En l'espèce, la motivation de l'ordonnance querellée, bien que succincte, expose les raisons qui ont conduit le Ministère public à retenir un empêchement de procéder, à savoir l'impossibilité d'identifier les auteurs des faits dénoncés. Une telle motivation permettait au recourant de contester la décision dans le cadre de son recours, ce qu'il a fait au demeurant. Le grief sera dès lors rejeté.</w:t>
      </w:r>
    </w:p>
    <w:p>
      <w:r>
        <w:rPr>
          <w:b/>
        </w:rPr>
        <w:t>E. 3</w:t>
      </w:r>
    </w:p>
    <w:p>
      <w:r>
        <w:t>Le recourant conteste l'existence d'un empêchement de procéder.</w:t>
      </w:r>
    </w:p>
    <w:p>
      <w:r>
        <w:rPr>
          <w:b/>
        </w:rPr>
        <w:t>E. 3.1</w:t>
      </w:r>
    </w:p>
    <w:p>
      <w:r>
        <w:t>Le ministère public rend immédiatement une ordonnance de non-entrée en matière s'il ressort de la dénonciation ou du rapport de police qu'il existe des empêchements de procéder (art. 310 al. 1 let. b CPP) ou que les éléments constitutifs de l'infraction ou les conditions à l'ouverture de l'action pénale ne sont manifestement pas réunis (art. 310 al. 1 let. a CPP). Conformément à cette disposition, une procédure pénale peut être liquidée par ordonnance de non-entrée en matière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l'absence manifeste des éléments constitutifs d'une infraction que lorsqu'il n'existe pas de soupçon suffisant conduisant à considérer un comportement punissable ou lorsqu'un éventuel soupçon initial s'est entièrement dissipé (arrêts du Tribunal fédéral 6B_488/2021 du 22 décembre 2021 consid. 5.3; 6B_212/2020 du 21 avril 2021 consid. 2.2; 6B_196/2020 du 14 octobre 2020 consid. 3.1).</w:t>
      </w:r>
    </w:p>
    <w:p>
      <w:r>
        <w:rPr>
          <w:b/>
        </w:rPr>
        <w:t>E. 3.2</w:t>
      </w:r>
    </w:p>
    <w:p>
      <w:r>
        <w:t>Aux termes de l'art. 146 al. 1 CP, se rend coupable d'escroquerie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w:t>
      </w:r>
    </w:p>
    <w:p>
      <w:r>
        <w:t>- 5/8 - P/1533/2024</w:t>
      </w:r>
    </w:p>
    <w:p>
      <w:r>
        <w:rPr>
          <w:b/>
        </w:rPr>
        <w:t>E. 3.3</w:t>
      </w:r>
    </w:p>
    <w:p>
      <w:r>
        <w:t>Cette disposition ne punit pas les tromperies qui peuvent être déjouées avec un minimum d'attention. La tromperie doit ainsi être astucieuse. L'astuce est réalisée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(ATF 135 IV 76 consid. 5.2; arrêt du Tribunal fédéral 6B_1196/2014 du 4 novembre 2015 consid. 3.1).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 conclusion d'un contrat suppose en effet qu'on prête à son cocontractant un minimum d'honnêteté et qu'on ne le traite pas avec une méfiance de principe (ATF 147 IV 73 consid. 3.2). L'astuce n'est exclue que si la dupe n'a pas procédé aux vérifications élémentaires que l'on pouvait attendre d'elle au vu des circonstances, notamment compte tenu de son degré d'expérience dans le domaine concerné (ATF 135 IV 76 consid. 5.2; arrêt du Tribunal fédéral 6B_977/2018 du 27 décembre 2018 consid. 1.1). Une coresponsabilité de la dupe n'exclut toutefois l'astuce que dans des cas exceptionnels, soit lorsque son imprudence fait passer le comportement frauduleux de l'auteur au second plan (ATF 147 IV 73 consid. 3.2; 142 IV 153 consid. 2.2.2; 135 IV 76 consid. 5.2; arrêt du Tribunal fédéral 6B_212/2020 du 21 avril 2021 consid. 2.4).</w:t>
      </w:r>
    </w:p>
    <w:p>
      <w:r>
        <w:rPr>
          <w:b/>
        </w:rPr>
        <w:t>E. 3.4</w:t>
      </w:r>
    </w:p>
    <w:p>
      <w:r>
        <w:t>En l'espèce, le Ministère public considère dans sa décision que, les auteurs ne pouvant pas, en l'état, être identifiés, il se justifiait de ne pas entrer en matière, ce que le recourant conteste. Or, se pose la question préalable de la réalisation des éléments constitutifs de l'infraction d'escroquerie. Dans sa plainte, le recourant, qui reconnait son inexpérience dans le domaine de la finance et de la crypto-monnaie, admet avoir investi ses jetons C______ sans avoir effectué la moindre vérification préalable sur la plateforme utilisée, ni sur son interlocuteur. Pourtant, il ressort du rapport de renseignements du 26 janvier 2024 que ladite plateforme avait déjà été signalée par plusieurs internautes. Par ailleurs et surtout, dans un avis auquel le recourant se réfère dans sa plainte, elle a été mise sur liste d'alerte par la FINMA le 23 septembre 2022, soit avant qu'il décide d'investir dans le programme proposé par le dénommé D______. Compte tenu des circonstances et de son inexpérience, on pouvait attendre du recourant qu'il fasse montre du minimum de prudence avant d'agir, qui plus est au vu des informations</w:t>
      </w:r>
    </w:p>
    <w:p>
      <w:r>
        <w:t>- 6/8 - P/1533/2024 facilement accessibles sur internet qui auraient pu le mettre en garde et des relances pressantes dont il a fait l'objet pour investir dans ledit programme. Partant, même si l'intention des mis en cause était de tromper le recourant, ce dernier n'a pas procédé aux vérifications – simples – qu'il lui incombait d'effectuer. Les conditions de l'art. 146 CP ne sont dès lors pas remplies.</w:t>
      </w:r>
    </w:p>
    <w:p>
      <w:r>
        <w:rPr>
          <w:b/>
        </w:rPr>
        <w:t>E. 4</w:t>
      </w:r>
    </w:p>
    <w:p>
      <w:r>
        <w:t>Justifiée, l'ordonnance querellée sera donc confirmée par substitution de motifs. Le recours, qui s'avère mal fondé, pouvait d'emblée être traité sans échange d'écritures ni débats (art. 390 al. 2 et 5 a contrario CPP).</w:t>
      </w:r>
    </w:p>
    <w:p>
      <w:r>
        <w:rPr>
          <w:b/>
        </w:rPr>
        <w:t>E. 5</w:t>
      </w:r>
    </w:p>
    <w:p>
      <w:r>
        <w:t>Le recourant, qui succombe, supportera les frais envers l'État, fixés en intégralité à CHF 1'000.- (art. 428 al. 1 CPP et 13 al. 1 du Règlement fixant le tarif des frais en matière pénale, RTFMP ; E 4 10.03). * * * * *</w:t>
      </w:r>
    </w:p>
    <w:p>
      <w:r>
        <w:t>- 7/8 - P/1533/2024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