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ACPR/692/2019 vom 8. April 2019</w:t>
      </w:r>
    </w:p>
    <w:p>
      <w:r>
        <w:t>GE Cour de justice, 2019-04-08, FR</w:t>
      </w:r>
    </w:p>
    <w:p>
      <w:r>
        <w:rPr>
          <w:b/>
        </w:rPr>
        <w:t xml:space="preserve">Quelle: </w:t>
      </w:r>
      <w:r>
        <w:t>https://mcp.opencaselaw.ch/entscheid/ge_gerichte_ACPR_692_2019</w:t>
      </w:r>
    </w:p>
    <w:p>
      <w:r>
        <w:t>FR: GE_GERICHTE ACPR/692/2019 du 8 avril 2019</w:t>
      </w:r>
    </w:p>
    <w:p>
      <w:r>
        <w:t>IT: GE_GERICHTE ACPR/692/2019 del 8 aprile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être entré en matière sur sa plainte pénale et considère que le comportement du mis en cause est constitutif de tentative d'extorsion, subsidiairement de contrainte et de dénonciation calomnieuse.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w:t>
      </w:r>
    </w:p>
    <w:p>
      <w:r>
        <w:t>- 5/10 - P/22708/2018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138 IV 86 consid. 4.1.2; 137 IV 285 consid. 2.5). La non-entrée en matière peut résulter de motifs juridiques. La question de savoir si les faits qui sont portés à sa connaissance constituent une infraction à la loi pénale doit être examinée d'office par le ministère public. Des motifs juridiques de non- entrée en matière existent lorsqu'il apparaît d'emblée que le comportement dénoncé n'est pas punissable (A. KUHN / Y. JEANNERET (éds), Commentaire romand : Code de procédure pénale suisse, Bâle 2011, n. 10 ad art. 310 ; R. PFISTER- LIECHTI (éd.), La procédure pénale fédérale, Fondation pour la formation continue des juges suisses, Berne 2010, p. 62). Une non-entrée en matière s'impose également lorsque le litige est de nature purement civile (ATF 137 IV 285 consid. 2.3 p. 287). 3.2.1 L'art. 156 al. 1 CP (extorsion et chantage) punit celui qui, dans le dessein de se procurer ou de procurer à un tiers un enrichissement illégitime, aura déterminé une personne à des actes préjudiciables à ses intérêts pécuniaires ou à ceux d'un tiers, en usant de violence ou en la menaçant d'un dommage sérieux. La loi prévoit deux moyens de contrainte : la violence – qui n'entre pas en considération en l'espèce – et la menace d'un dommage sérieux. La menace est un moyen de pression psychologique. L'auteur doit faire craindre à la victime un inconvénient, dont l'arrivée paraît dépendre de sa volonté (ATF 122 IV 322 consid. 1a p. 324 ad art. 181 CP). Il importe peu qu'en réalité l'auteur ne puisse pas influencer la survenance de l'événement préjudiciable (ATF 106 IV 125 consid. 1a p. 128 ad art. 181 CP) ou qu'il n'ait pas l'intention de mettre sa menace à exécution (ATF 122 IV 322 consid. 1a p. 324 ad art. 181 CP).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p. 325 ad art. 181 CP ; arrêt du Tribunal fédéral 6B_275/2016 du 9 décembre 2016 consid. 4.2.1 et les références).</w:t>
      </w:r>
    </w:p>
    <w:p>
      <w:r>
        <w:t>- 6/10 - P/22708/2018 La doctrine précise au sujet du dessein d'enrichissement illégitime que celui-ci fait défaut lorsque l'auteur est titulaire d'une créance à l'égard de la personne visée ou croit être titulaire d'une créance à son encontre. Dans un tel cas, seule la contrainte entre en ligne de compte (M. DUPUIS / L. MOREILLON / C. PIGUET / S. BERGER / M. MAZOU / V. RODIGARI (éds), Code pénal – Petit commentaire, 2e éd., Bâle 2017, n. 19 ad art. 156 CP et les références citées). Sur le plan subjectif, il faut que l'auteur ait agi intentionnellement, le dol éventuel étant suffisant, et dans le dessein de se procurer ou de procurer à un tiers un enrichissement illégitime (arrêt du Tribunal fédéral 6B_275/2016 du 9 décembre 2016 consid. 4.2.5). 3.2.2 Se rend coupable de contrainte selon l'art. 181 CP celui qui, en usant de violence envers une personne ou en la menaçant d'un dommage sérieux, ou en l'entravant de quelque autre manière dans sa liberté d'action, l'aura obligée à faire, ne pas faire ou à laisser faire un acte.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3.3</w:t>
      </w:r>
    </w:p>
    <w:p>
      <w:r>
        <w:t>L'existence d'une extorsion suppose notamment qu'il y ait eu menace d'un dommage sérieux. En l'espèce, le recourant ne fait état d'aucune menace concrète et se borne à affirmer que les mis en cause ont déposé plainte pénale dans le but de le contraindre à s'acquitter de factures qu'ils savaient indues. Il précise que les mis en cause maîtrisaient la faculté de retirer cette plainte et que la menace que la procédure pénale se poursuive pouvait inciter le recourant à chercher un accord. Il n'allègue toutefois pas que les mis en cause l'auraient concrètement menacé de ne pas retirer leur plainte si les factures litigieuses n'étaient pas payées ou si aucun arrangement n'était trouvé. En outre, le contenu du dossier ne permet pas de considérer que, contrairement à ce qu'allègue le recourant, cette plainte intervenait en réaction aux oppositions aux commandements de payer que C______.CH SA avait notifiés à B______ SA et à ses filiales, puisqu'elle avait été déposée juste après celles-ci. En effet, il ressort des pièces transmises que les commandements de payer sont datés du 23 août 2017, la plainte ayant quant à elle été déposée le 20 septembre 2018, soit plus d'une année après les oppositions. En outre, aucun élément ne permet de retenir que les mis en cause réclamaient à B______ SA des prétentions qu'ils savaient infondées, lesquelles</w:t>
      </w:r>
    </w:p>
    <w:p>
      <w:r>
        <w:t>- 7/10 - P/22708/2018 correspondaient par ailleurs à des prestations convenues, à savoir l'hébergement du programme C______. Aussi, l'on ne saurait envisager que les mis en cause avaient la volonté de déposer plainte pénale dans le but d'obtenir le paiement de factures indues. Il en va de même d'une éventuelle tentative de contrainte, laquelle doit être écartée, faute de menace d'un dommage sérieux ou de volonté de contraindre le recourant à un quelconque comportement. Faute de prévention pénale suffisante, l'ordonnance querellée ne prête pas le flanc à la critique sur ce point.</w:t>
      </w:r>
    </w:p>
    <w:p>
      <w:r>
        <w:rPr>
          <w:b/>
        </w:rPr>
        <w:t>E. 3.4</w:t>
      </w:r>
    </w:p>
    <w:p>
      <w:r>
        <w:t>L'art. 303 CP punit celui qui aura dénoncé à l'autorité, comme auteur d'un crime ou d'un délit, une personne qu'il savait innocente, en vue de faire ouvrir contre elle une poursuite pénale, de même que celui, de toute autre manière, aura ourdi des machinations astucieuses en vue de provoquer l'ouverture d'une poursuite pénale contre une personne qu'il savait innocente.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(ATF 136 IV 170 consid. 2.1 p. 176 et les références citées; arrêt du Tribunal fédéral 6B_753/2016 du 24 mars 2017 consid. 2.1.2).</w:t>
      </w:r>
    </w:p>
    <w:p>
      <w:r>
        <w:rPr>
          <w:b/>
        </w:rPr>
        <w:t>E. 3.5</w:t>
      </w:r>
    </w:p>
    <w:p>
      <w:r>
        <w:t>En l'espèce, contrairement à ce qu'allègue le recourant, il ne ressort pas des pièces du dossier que les mis en cause devaient manifestement savoir que la société B______ SA était propriétaire du logiciel litigieux. Tout d'abord, le recourant n'a pas produit le contrat conclu, mais uniquement les offres qui lui avaient été soumises par D______ SA. En outre, même si les offres de service contenaient les termes "conditions de vente", cela ne signifie pas que la société B______ SA avait, par la suite, acheté le logiciel C______ ou, à tout le moins, l'hypothèse d'un contrat de licence est tout aussi envisageable. Il ressort, en outre, du dossier que les mis en cause ont, à plusieurs reprises, avant le dépôt de leur plainte pénale, indiqué au recourant que la société C______.CH SA était seule propriétaire du logiciel incriminé et qu'elle interdisait à B______ SA de l'utiliser sans leur autorisation. On doit retenir des circonstances précitées que, lorsque les mis en cause ont déposé plainte, ils avaient des raisons sérieuses de penser que le recourant utilisait effectivement de manière illicite le programme litigieux, étant relevé que ce dernier ne conteste pas avoir continué à se servir du logiciel après avoir renoncé aux services</w:t>
      </w:r>
    </w:p>
    <w:p>
      <w:r>
        <w:t>- 8/10 - P/22708/2018 de C______.CH SA. Au contraire, il a indiqué, à plusieurs reprises, aux mis en cause avoir acheté la licence et tous les droits d'utilisation et d'exploitation du logiciel, sans limitation de temps, ce qui laissait supposer qu'il continuait à l'utiliser. Aussi, aucun élément concret ne permet d'inférer que les mis en cause étaient certains que le recourant était innocent des faits qu'ils lui imputaient et qu'ils avaient pour seul but de faire ouvrir une procédure pénale à son encontre, dans le dessein de lui nuire. L'élément constitutif subjectif de l'infraction de dénonciation calomnieuse ne saurait ainsi être retenu.</w:t>
      </w:r>
    </w:p>
    <w:p>
      <w:r>
        <w:rPr>
          <w:b/>
        </w:rPr>
        <w:t>E. 4</w:t>
      </w:r>
    </w:p>
    <w:p>
      <w:r>
        <w:t>Justifiée, l'ordonnance querellée sera donc confirmée.</w:t>
      </w:r>
    </w:p>
    <w:p>
      <w:r>
        <w:rPr>
          <w:b/>
        </w:rPr>
        <w:t>E. 5</w:t>
      </w:r>
    </w:p>
    <w:p>
      <w:r>
        <w:t>Le recourant, qui succombe, supportera les frais envers l'État, fixés dans leur totalité à CHF 1'500.- (art. 428 al. 1 CPP et 13 al. 1 du Règlement fixant le tarif des frais en matière pénale, RTFMP ; E 4 10.03). * * * * *</w:t>
      </w:r>
    </w:p>
    <w:p>
      <w:r>
        <w:t>- 9/10 - P/22708/2018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