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ACPR/690/2019 vom 16. April 2019</w:t>
      </w:r>
    </w:p>
    <w:p>
      <w:r>
        <w:t>GE Cour de justice, 2019-04-16, FR</w:t>
      </w:r>
    </w:p>
    <w:p>
      <w:r>
        <w:rPr>
          <w:b/>
        </w:rPr>
        <w:t xml:space="preserve">Quelle: </w:t>
      </w:r>
      <w:r>
        <w:t>https://mcp.opencaselaw.ch/entscheid/ge_gerichte_ACPR_690_2019</w:t>
      </w:r>
    </w:p>
    <w:p>
      <w:r>
        <w:t>FR: GE_GERICHTE ACPR/690/2019 du 16 avril 2019</w:t>
      </w:r>
    </w:p>
    <w:p>
      <w:r>
        <w:t>IT: GE_GERICHTE ACPR/690/2019 del 16 aprile 2019</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À bien comprendre la recourante, elle reproche au Ministère public de ne pas être entré en matière sur l'infraction de contrainte tant s'agissant des évènements du 23 ou 24 octobre 2018 que ceux du 29 suivant.</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w:t>
      </w:r>
    </w:p>
    <w:p>
      <w:r>
        <w:t>- 7/11 - P/20907/2018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w:t>
      </w:r>
    </w:p>
    <w:p>
      <w:r>
        <w:rPr>
          <w:b/>
        </w:rPr>
        <w:t>E. 3.2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p. 448; 106 IV 125 consid. 2a p. 128) ni que l'auteur ait réellement la volonté de réaliser sa menace (ATF 105 IV 120 consid. 2a p. 122). La loi exige un dommage sérieux, c'est-à-dire que la perspective de l'inconvénient présenté comme dépendant de la volonté de l'auteur soit propre à entraver le destinataire dans sa liberté de décision ou d'action. La question doit être</w:t>
      </w:r>
    </w:p>
    <w:p>
      <w:r>
        <w:t>- 8/11 - P/20907/2018 tranchée en fonction de critères objectifs, en se plaçant du point de vue d'une personne de sensibilité moyenne (ATF 122 IV 322 consid. 1a p. 325; 120 IV 17 consid. 2a/aa p. 19). Cette exigence vise à fixer un degré minimum pour qu'un dommage soit sérieux, étant entendu que tout dommage n'atteignant pas ce degré de sérieux serait sans pertinence pour une contrainte. Il est, en effet, très difficile d'évaluer le degré de sensibilité d'une personne au cas par cas, raison pour laquelle la fixation d'un critère objectif le rend valable pour tous, quel que soit le degré de sensibilité effectif (arrêt du Tribunal fédéral 6B_378/2016 du 15 décembre 2016 consid. 2.2). On admet ainsi que la menace du dépôt d'une plainte pénale (ATF 120 IV 17 consid. 2aa p. 19) ou l'envoi d'un commandement de payer d'une importante somme d'argent (arrêt du Tribunal fédéral 6B_1188/2017 du 5 juin 2018 consid. 3.1) constituent la menace d'un dommage sérieux.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137 IV 326 consid. 3.3.1 p. 328; 134 IV 216 consid. 4.1 p. 218).</w:t>
      </w:r>
    </w:p>
    <w:p>
      <w:r>
        <w:rPr>
          <w:b/>
        </w:rPr>
        <w:t>E. 3.3</w:t>
      </w:r>
    </w:p>
    <w:p>
      <w:r>
        <w:t>En l'espèce, s'agissant de la signature des documents, que la recourante allègue être intervenue sous la contrainte de la batte de baseball, les faits ne sont pas établis dans le temps – la plainte et le complément ne se référant pas aux mêmes dates –, et l'affirmation de la recourante n'est étayée par aucun élément probant. En effet, bien que les courriels produits à l'appui du recours fassent état d'un désaccord au sujet du contrat, plus particulièrement du prix du transport et des modalités de paiement, ce qui exclurait selon elle la signature des documents de son plein gré, il ressort également de ceux-ci que les parties devaient se rencontrer pour discuter du règlement du litige. Il n'est donc pas impossible qu'un accord ait finalement été trouvé. En outre, bien que le mis en cause n'ait pas pu être réinterrogé sur les faits de contrainte – étant domicilié au Portugal depuis fin 2018 –, il a relaté à la police les évènements depuis la naissance du litige et a exposé n'avoir jamais usé de quelconques violences à l'égard de la recourante. Ainsi, tout mène à penser qu'il contesterait également ces faits et une commission rogatoire paraît dès lors disproportionnée, au vu du contexte. Enfin, aucun autre acte d'instruction ne semble pouvoir amener d'élément supplémentaire, aucun témoin n'ayant assisté à ces faits-là. S'agissant des évènements du 29 octobre 2018, il est établi qu'une altercation est intervenue entre les parties à propos de la carte grise. Toutefois, les déclarations de celles-ci quant à la cause de la dispute sont contradictoires, la recourante affirmant que B______ aurait tenté de lui faire signer ladite carte "par la force", celui-ci contestant ces accusations. En tout état de cause, une confrontation entre les protagonistes ne parait pas susceptible d'apporter d'élément probant supplémentaire car chacun persisterait vraisemblablement dans sa propre version. De même, n'étant</w:t>
      </w:r>
    </w:p>
    <w:p>
      <w:r>
        <w:t>- 9/11 - P/20907/2018 pas présents au début de l'altercation mais étant uniquement intervenus par la suite, le compagnon de la recourante et l'ami du mis en cause ne pourront pas apporter d'élément utile à l'enquête sur ce point. Enfin, la recourante n'expose pas en quoi une enquête sur les pratiques commerciales du mis en cause serait utile à l'établissement des faits dénoncés et la question de l'ascendant de ce dernier sur elle ne semble être pertinente que pour le volet civil du litige, relatif aux circonstances de la signature des documents produits. Ainsi, faute d'autre preuve disponible permettant d'objectiver les faits allégués, les chances d'un acquittement paraissent nettement plus élevées que celles d'une condamnation, de sorte que l'ouverture d'une instruction ne se justifie pas.</w:t>
      </w:r>
    </w:p>
    <w:p>
      <w:r>
        <w:rPr>
          <w:b/>
        </w:rPr>
        <w:t>E. 4</w:t>
      </w:r>
    </w:p>
    <w:p>
      <w:r>
        <w:t>Justifiée, l'ordonnance querellée sera donc confirmée.</w:t>
      </w:r>
    </w:p>
    <w:p>
      <w:r>
        <w:rPr>
          <w:b/>
        </w:rPr>
        <w:t>E. 5</w:t>
      </w:r>
    </w:p>
    <w:p>
      <w:r>
        <w:t>La recourante sollicite l'octroi de l'assistance judiciaire et l'exonération des frais de la procédure de recours.</w:t>
      </w:r>
    </w:p>
    <w:p>
      <w:r>
        <w:rPr>
          <w:b/>
        </w:rPr>
        <w:t>E. 5.1</w:t>
      </w:r>
    </w:p>
    <w:p>
      <w:r>
        <w:t>Conformément à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5.2</w:t>
      </w:r>
    </w:p>
    <w:p>
      <w:r>
        <w:t>En l'espèce, quand bien même la recourante est indigente, il a été jugé supra que ses griefs étaient juridiquement infondés. Par conséquent, la recourante ne saurait être mise au bénéfice de l'assistance judiciaire et supportera donc les frais de la procédure envers l'État, qui seront fixés à CHF 300.- (art. 428 al. 1 CPP et 13 al. 1 du Règlement fixant le tarif des frais en matière pénale, RTFMP ; E 4 10.03). * * * * *</w:t>
      </w:r>
    </w:p>
    <w:p>
      <w:r>
        <w:t>- 10/11 - P/20907/2018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