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ACPR/68/2022 vom 11. Januar 2022</w:t>
      </w:r>
    </w:p>
    <w:p>
      <w:r>
        <w:t>GE Cour de justice, 2022-01-11, FR</w:t>
      </w:r>
    </w:p>
    <w:p>
      <w:r>
        <w:rPr>
          <w:b/>
        </w:rPr>
        <w:t xml:space="preserve">Quelle: </w:t>
      </w:r>
      <w:r>
        <w:t>https://mcp.opencaselaw.ch/entscheid/ge_gerichte_ACPR_68_2022</w:t>
      </w:r>
    </w:p>
    <w:p>
      <w:r>
        <w:t>FR: GE_GERICHTE ACPR/68/2022 du 11 janvier 2022</w:t>
      </w:r>
    </w:p>
    <w:p>
      <w:r>
        <w:t>IT: GE_GERICHTE ACPR/68/2022 del 11 gennaio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tout d'abord au Ministère public une violation de son droit d'être entendu et du droit à l'égalité des armes.</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 Le principe de l'égalité des armes, tel qu'il est ancré aux art. 29 al. 1 Cst. et 6 § 1 CEDH, requiert que chaque partie se voie offrir une possibilité raisonnable de présenter sa cause dans des conditions qui ne la placent pas dans une situation de net désavantage par rapport à son adversaire (ATF 137 IV 172 consid. 2.6).</w:t>
      </w:r>
    </w:p>
    <w:p>
      <w:r>
        <w:t>- 11/15 - P/8148/2021</w:t>
      </w:r>
    </w:p>
    <w:p>
      <w:r>
        <w:rPr>
          <w:b/>
        </w:rPr>
        <w:t>E. 2.2</w:t>
      </w:r>
    </w:p>
    <w:p>
      <w:r>
        <w:t>En l'espèce, le Ministère public avait, certes, refusé l'accès aux extraits de compte le 15 novembre 2021. Cependant, dans son arrêt du 27 décembre 2021, notifié au conseil du recourant le 29 suivant, la Chambre de céans a précisé disposer du dossier intégral de la cause et ne pas avoir constaté qu'il y avait un refus d'accès à la procédure de la part du Ministère public. Ainsi, le dossier, y compris les pièces bancaires, était consultable par le recourant déjà à cette occasion. Or, ce n'est que le</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w:t>
      </w:r>
    </w:p>
    <w:p>
      <w:r>
        <w:t>- 13/15 - P/8148/2021 frais de l'État, notamment contre des décisions de détention provisoire (arrêt du Tribunal fédéral 1B_516/2020 du 3 novembre 2020 consid. 5.1).</w:t>
      </w:r>
    </w:p>
    <w:p>
      <w:r>
        <w:rPr>
          <w:b/>
        </w:rPr>
        <w:t>E. 7.2</w:t>
      </w:r>
    </w:p>
    <w:p>
      <w:r>
        <w:t>En l'espèce, le recourant soulève dans son recours en substance les mêmes griefs que ceux de son précédent recours, lesquels venaient d'être rejetés, dans un arrêt du 27 décembre 2021. Pareilles contestations doivent être considérées comme d'emblée vouées à l'échec. Dès lors, la prise en charge des honoraires de son défenseur d'office sera refusée</w:t>
      </w:r>
    </w:p>
    <w:p>
      <w:r>
        <w:rPr>
          <w:b/>
        </w:rPr>
        <w:t>E. 8</w:t>
      </w:r>
    </w:p>
    <w:p>
      <w:r>
        <w:t>Même au bénéfice d'une défense d'office, les frais de l'instance – le recourant n'obtenant pas gain de cause – doivent être fixés (arrêts du Tribunal fédéral 1B_372/2014 du 8 avril 2015 consid. 4.6 et 1B_203/2011 du 18 mai 2011 consid. 4). En l'occurrence, ils seront arrêtés à CHF 900.-, émolument de décision compris (art. 428 al. 1 CPP et 13 al. 1 du Règlement fixant le tarif des frais en matière pénale, RTFMP; E 4 10.03). * * * * *</w:t>
      </w:r>
    </w:p>
    <w:p>
      <w:r>
        <w:t>- 14/15 - P/8148/2021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