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ACPR/688/2022 vom 11. August 2022</w:t>
      </w:r>
    </w:p>
    <w:p>
      <w:r>
        <w:t>GE Cour de justice, 2022-08-11, FR</w:t>
      </w:r>
    </w:p>
    <w:p>
      <w:r>
        <w:rPr>
          <w:b/>
        </w:rPr>
        <w:t xml:space="preserve">Quelle: </w:t>
      </w:r>
      <w:r>
        <w:t>https://mcp.opencaselaw.ch/entscheid/ge_gerichte_ACPR_688_2022</w:t>
      </w:r>
    </w:p>
    <w:p>
      <w:r>
        <w:t>FR: GE_GERICHTE ACPR/688/2022 du 11 août 2022</w:t>
      </w:r>
    </w:p>
    <w:p>
      <w:r>
        <w:t>IT: GE_GERICHTE ACPR/688/2022 del 11 agosto 2022</w:t>
      </w:r>
    </w:p>
    <w:p>
      <w:pPr>
        <w:pStyle w:val="Heading2"/>
      </w:pPr>
      <w:r>
        <w:t>Erwägungen</w:t>
      </w:r>
    </w:p>
    <w:p>
      <w:r>
        <w:rPr>
          <w:b/>
        </w:rPr>
        <w:t>E. 1</w:t>
      </w:r>
    </w:p>
    <w:p>
      <w:r>
        <w:t>Les décisions relatives à l’exécution de la détention avant jugement et qui ne portent pas directement sur les relations avec le défenseur, au sens de l’art. 235 al. 4 CPP – tel le refus d’une autorisation de visite à un tiers – sont sujettes à recours selon les modalités prévues par le droit cantonal (art. 235 al. 5 CPP), soit en l’occurrence auprès de la Chambre de céans (art. 30 al. 1 de la loi d'application du code pénal suisse et d'autres lois fédérales en matière pénale, du 27 août 2009 – LaCP; RS E 4 10), qui appliquera les art. 379 à 397 CPP par analogie (art. 30 al. 2 LaCP). Le recours ayant été déposé selon la forme et dans le délai prescrits (art. 385 al. 1 et 396 al. 1 CPP) et émanant du prévenu (art. 104 al. 1 let. a CPP), qui a un intérêt juridiquement protégé à l'annulation ou à la modification de celle-ci (art. 382 al. 1 CPP), il est recevable.</w:t>
      </w:r>
    </w:p>
    <w:p>
      <w:r>
        <w:rPr>
          <w:b/>
        </w:rPr>
        <w:t>E. 2</w:t>
      </w:r>
    </w:p>
    <w:p>
      <w:r>
        <w:t>Le recourant considère que le refus de visite querellé viole le principe de la proportionnalité.</w:t>
      </w:r>
    </w:p>
    <w:p>
      <w:r>
        <w:rPr>
          <w:b/>
        </w:rPr>
        <w:t>E. 2.1</w:t>
      </w:r>
    </w:p>
    <w:p>
      <w:r>
        <w:t>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(arrêt 1B_202/2016 du 14 juillet 2016 consid. 2.2). Conformément aux exigences de l'art. 36 Cst., les restrictions à ces droits doivent reposer sur une base légale et ne pas aller au-delà de ce qui est nécessaire au but de l'incarcération et au fonctionnement de l'établissement de détention (ATF 145 I 318 consid. 2.1 et 143 I 241 consid. 3.4). Ce principe est rappelé en matière d'exécution de la détention avant jugement à l'art. 235 al. 1 CPP qui prévoit que la liberté des prévenus en détention ne peut être restreinte que dans la mesure requise par le but de la détention et par le respect de l'ordre et de la sécurité dans l'établissement. Cette disposition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arrêt 1B_202/2016 du 14 juillet 2016 consid. 2.2). Les garanties de la CEDH relatives aux conditions de détention n'offrent pas une protection plus étendue que celles garanties par la Constitution fédérale (ATF 145 I 318 consid. 2.1 et 143 I 241 consid. 3.4).</w:t>
      </w:r>
    </w:p>
    <w:p>
      <w:r>
        <w:t>- 7/10 - P/11376/2022 Selon les règles pénitentiaires européennes, les détenus sont autorisés à communiquer aussi souvent que possible avec leur famille par lettre, par téléphone ou par d'autres formes de communication et à recevoir des visites de leur part. Dans le cas des détenus soumis à une procédure pénale, les visites et autres contacts peuvent être limités et surveillés si cela est nécessaire pour les enquêtes pénales en cours, pour le maintien de l'ordre et de la sécurité, pour la prévention des infractions pénales et pour la protection des victimes d'infractions (ATF 145 I 318 consid. 2.2 et 143 I 241 consid. 4.3). Le risque de collusion peut être justifié par l'intérêt public lié aux besoins de l'instruction en cours, par exemple lorsqu'il est à craindre que le prévenu ne mette sa liberté à profit pour faire disparaître ou altérer les preuves, ou qu'il prenne contact avec des témoins ou d'autres prévenus pour tenter d'influencer leurs déclarations (art. 221 al. 1 let. b CPP).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2.2</w:t>
      </w:r>
    </w:p>
    <w:p>
      <w:r>
        <w:t>En l'espèce, l'existence d'un risque de collusion est admis par le recourant mais il conteste qu'il s'étendrait à sa compagne et à sa fille. En l'état de la procédure, il apparaît qu'outre l'acolyte du recourant présent au moment des faits, une ou plusieurs autres personnes seraient impliquées. Les soupçons de la police et du Procureur, fondés sur des éléments factuels, s'orientent en particulier sur I______, proche connaissance des deux prévenus, lequel est originaire de J______, tout comme le recourant qui lui avait rendu visite régulièrement à B______. Ainsi, il paraît vraisemblable que la compagne du recourant, qui est en couple avec celui-ci depuis de nombreuses années, connaisse I______ et puisse le cas échéant entrer en contact avec lui pour lui transmettre des messages de la part du prévenu. L'autorisation de téléphone et de correspondance a, certes, été octroyée mais sous surveillance, puisque que les communications sont enregistrées et la correspondance</w:t>
      </w:r>
    </w:p>
    <w:p>
      <w:r>
        <w:t>- 8/10 - P/11376/2022 est contrôlée. Or, contrairement à ce que soutient le recourant, les visites ne sont pas comparables à ces deux moyens de communication. Le couple pourrait se parler de façon très rapprochée, sans que les gardiens ne distinguent ce qu'ils se diraient; il pourrait également avoir recours à des gestes ou expressions qui lui sont propres et qui n'éveilleraient pas de soupçons. Une visite enregistrée pourrait par ailleurs ne pas appréhender certains propos s'ils étaient chuchotés, sauf à interdire tout contact physique entre les intéressés y compris l'enfant. On ne saurait retenir que le Ministère public ferait, par le refus de visite, pression sur le recourant parce qu'il use de son droit de se taire. Rien dans l'ordonnance querellée ne le laisse penser. En l'état de la procédure, le risque de collusion est très important et justifie la restriction aux relations personnelles entre le prévenu et ses proches; elle reste proportionnée dans la mesure où le recourant, détenu depuis quatre mois, bénéficie des autorisations téléphones et correspondances. Le recours s'avère ainsi infondé et doit être rejeté.</w:t>
      </w:r>
    </w:p>
    <w:p>
      <w:r>
        <w:rPr>
          <w:b/>
        </w:rPr>
        <w:t>E. 3</w:t>
      </w:r>
    </w:p>
    <w:p>
      <w:r>
        <w:t>Le recourant, qui succombe, supportera les frais envers l'État, qui comprendront un émolument de CHF 900.- (art. 428 al. 1 CPP et 13 al. 1 du Règlement fixant le tarif des frais en matière pénale, RTFMP ; E 4 10.03).</w:t>
      </w:r>
    </w:p>
    <w:p>
      <w:r>
        <w:rPr>
          <w:b/>
        </w:rPr>
        <w:t>E. 4</w:t>
      </w:r>
    </w:p>
    <w:p>
      <w:r>
        <w:t>L'indemnité du défenseur d'office du recourant, qui fait partie des frais de procédure (art. 422 al. 2 let. a CPP), sera fixée à la fin de la procédure (art. 135 al. 2 CPP). * * * * *</w:t>
      </w:r>
    </w:p>
    <w:p>
      <w:r>
        <w:t>- 9/10 - P/11376/2022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