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ACPR/688/2020 vom 29. September 2020</w:t>
      </w:r>
    </w:p>
    <w:p>
      <w:r>
        <w:t>GE Cour de justice, 2020-09-29, FR</w:t>
      </w:r>
    </w:p>
    <w:p>
      <w:r>
        <w:rPr>
          <w:b/>
        </w:rPr>
        <w:t xml:space="preserve">Quelle: </w:t>
      </w:r>
      <w:r>
        <w:t>https://mcp.opencaselaw.ch/entscheid/ge_gerichte_ACPR_688_2020</w:t>
      </w:r>
    </w:p>
    <w:p>
      <w:r>
        <w:t>FR: GE_GERICHTE ACPR/688/2020 du 29 septembre 2020</w:t>
      </w:r>
    </w:p>
    <w:p>
      <w:r>
        <w:t>IT: GE_GERICHTE ACPR/688/2020 del 29 settembre 2020</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Partie plaignante dans la procédure pendante (art. 104 al. 1 let. b CPP), la requérante dispose de la qualité pour agir (art. 58 al. 1 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est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est la "goutte d'eau qui faisait déborder le vase" (arrêts du Tribunal fédéral 1B_22/2020 du 18 mars 2020 consid. 3.3; 1B_357/2013 du 24 janvier 2014 consid. 5.3.1). Dans un tel cas, l'examen des événements passés, dans le cadre d'une appréciation globale, n'est admis que pour autant que la dernière occurrence constitue en elle-même un motif de récusation ou à tout le moins un indice en faveur d'une apparence de prévention (arrêts du Tribunal fédéral 1B_305/2019 du 26 novembre 2019 consid. 3.4.2.1; 1B_357/2013 du 24 janvier 2014 consid. 5.3.3.1 et 5.4).</w:t>
      </w:r>
    </w:p>
    <w:p>
      <w:r>
        <w:t>- 5/8 - PS/62/2020</w:t>
      </w:r>
    </w:p>
    <w:p>
      <w:r>
        <w:rPr>
          <w:b/>
        </w:rPr>
        <w:t>E. 2.3</w:t>
      </w:r>
    </w:p>
    <w:p>
      <w:r>
        <w:t>En l'espèce, la requête, formée le 23 avril 2020, est recevable s'agissant des griefs liés à l'audience d'instruction du même jour. Elle ne l'est en revanche pas s'agissant de l'évocation d'audiences antérieures, dans la mesure où la requérante, en ne faisant état que de ses propres impressions, n'invoque aucun fait ni l'accumulation d'éventuels incidents, de sorte qu'on ne se trouve nullement dans un cas où il y aurait lieu d'examiner plusieurs occurrences ou événements susceptibles de fonder ensemble un motif de récusation, au sens de la jurisprudence sus-rappelée. Les griefs autres que ceux liés à l'audience du 23 avril 2020, tardifs, sont par conséquent irrecevables.</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3.2</w:t>
      </w:r>
    </w:p>
    <w:p>
      <w:r>
        <w:t>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2009, n. 14 ad art. 56). L'inimitié au sens de l'art. 56 let. f CPP exige un rapport négatif prononcé à l'égard d'une partie, qui s'écarte des comportements sociaux habituels ("sozial Üblichen")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w:t>
      </w:r>
    </w:p>
    <w:p>
      <w:r>
        <w:t>- 6/8 - PS/62/2020</w:t>
      </w:r>
    </w:p>
    <w:p>
      <w:r>
        <w:rPr>
          <w:b/>
        </w:rPr>
        <w:t>E. 3.2.2</w:t>
      </w:r>
    </w:p>
    <w:p>
      <w:r>
        <w:t>p. 179 s. ;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(arrêts du Tribunal fédéral 1B_384/2017 du 10 janvier 2018 consid. 4.1 ; 1B_150/2016 du 19 mai 2016 consid. 2.3 et l'arrêt cité).</w:t>
      </w:r>
    </w:p>
    <w:p>
      <w:r>
        <w:rPr>
          <w:b/>
        </w:rPr>
        <w:t>E. 3.3</w:t>
      </w:r>
    </w:p>
    <w:p>
      <w:r>
        <w:t>La loi prévoit la possibilité pour une partie de requérir une rectification du procès-verbal lorsqu'elle l'estime nécessaire (art. 79 al. 2 CPP). Chaque partie dispose ainsi de cette possibilité, tant à l'audience qu'ultérieurement par courrier. Une erreur au procès-verbal ou un refus d'annotation peuvent donc conduire à un incident, mais ne sauraient justifier, à eux seuls, une demande de récusation, procédure qui n'a pas pour vocation de permettre aux parties de remettre en cause les différentes décisions incidentes prises par le magistrat instructeur (ACPR/350/2014 du 22 juillet 2014).</w:t>
      </w:r>
    </w:p>
    <w:p>
      <w:r>
        <w:rPr>
          <w:b/>
        </w:rPr>
        <w:t>E. 3.4</w:t>
      </w:r>
    </w:p>
    <w:p>
      <w:r>
        <w:t>En l'espèce, la requérante voit une apparence de prévention de B______, à son détriment, dans le refus de mentionner au procès-verbal, au terme de l'audience du 23 avril 2020, ses réquisitions de preuves complémentaires. Or, la Chambre de céans a déjà jugé que le refus d'annotation au procès-verbal ne saurait, à lui seul, justifier la récusation du magistrat. Au demeurant, le refus d'annotation de ses actes d'instruction complémentaires n'a, dans le cas présent, pas été préjudiciable à la partie plaignante, puisqu'elle a pu faire cette demande par courrier séparé, le même jour. L'attitude dénoncée n'est ainsi, en l'absence de tout autre fait ou incident, pas de nature à laisser soupçonner une inimité du ______ [statut] à l'égard de la requérante.</w:t>
      </w:r>
    </w:p>
    <w:p>
      <w:r>
        <w:rPr>
          <w:b/>
        </w:rPr>
        <w:t>E. 4</w:t>
      </w:r>
    </w:p>
    <w:p>
      <w:r>
        <w:t>Partant, la requête est infondée.</w:t>
      </w:r>
    </w:p>
    <w:p>
      <w:r>
        <w:rPr>
          <w:b/>
        </w:rPr>
        <w:t>E. 5</w:t>
      </w:r>
    </w:p>
    <w:p>
      <w:r>
        <w:t>En tant qu'elle succombe, la requérante supportera les frais de la procédure (art. 59 al. 4 CPP), fixés en totalité à CHF 800.-. * * * * *</w:t>
      </w:r>
    </w:p>
    <w:p>
      <w:r>
        <w:t>- 7/8 - PS/62/2020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