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ACPR/686/2024 vom 8. Juli 2024</w:t>
      </w:r>
    </w:p>
    <w:p>
      <w:r>
        <w:t>GE Cour de justice, 2024-07-08, FR</w:t>
      </w:r>
    </w:p>
    <w:p>
      <w:r>
        <w:rPr>
          <w:b/>
        </w:rPr>
        <w:t xml:space="preserve">Quelle: </w:t>
      </w:r>
      <w:r>
        <w:t>https://mcp.opencaselaw.ch/entscheid/ge_gerichte_ACPR_686_2024</w:t>
      </w:r>
    </w:p>
    <w:p>
      <w:r>
        <w:t>FR: GE_GERICHTE ACPR/686/2024 du 8 juillet 2024</w:t>
      </w:r>
    </w:p>
    <w:p>
      <w:r>
        <w:t>IT: GE_GERICHTE ACPR/686/2024 del 8 luglio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w:t>
      </w:r>
    </w:p>
    <w:p>
      <w:r>
        <w:rPr>
          <w:b/>
        </w:rPr>
        <w:t>E. 3.2</w:t>
      </w:r>
    </w:p>
    <w:p>
      <w:r>
        <w:t>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w:t>
      </w:r>
    </w:p>
    <w:p>
      <w:r>
        <w:t>- 4/6 - P/14650/2020 quand bien même la nature des infractions était fort différente, en l'occurrence des violences domestiques et une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w:t>
      </w:r>
    </w:p>
    <w:p>
      <w:r>
        <w:rPr>
          <w:b/>
        </w:rPr>
        <w:t>E. 3.3</w:t>
      </w:r>
    </w:p>
    <w:p>
      <w:r>
        <w:t>En l'espèce, le recourant est prévenu dans les deux procédures concernées. Conformément au principe de l'unité de la procédure, ces faits – et les infractions qui y sont associées – doivent donc en principe être poursuivis conjointement, quand bien même ils seraient de nature complètement différente. Par ailleurs, aucune raison objective ne milite pour que les infractions soient poursuivies séparément. Les motifs invoqués par le recourant relèvent plutôt de commodités personnelles voire organisationnelles (en particulier les coûts) ou même de conséquences inhérentes à toute jonction. On ne discerne pas quel serait son préjudice en cas de jonction. Bien que l'instruction de la P/14650/2020 apparaisse avancée, il n'est pas exclu que d'autres actes d'enquête soient sollicités. Quant à la P/11311/2024, elle n'est pas particulièrement complexe et ne semble pas nécessiter de plus amples mesures d'instruction. Enfin, la décision de jonction querellée permettra d'éviter une multitude de jugements rendus à l'encontre du prévenu et, contrairement à ce que ce dernier allègue, des frais supplémentaires, soit ceux liés à une seconde procédure. Le grief tiré de la violation des art. 29 et 30 CPP est ainsi rejeté.</w:t>
      </w:r>
    </w:p>
    <w:p>
      <w:r>
        <w:rPr>
          <w:b/>
        </w:rPr>
        <w:t>E. 4</w:t>
      </w:r>
    </w:p>
    <w:p>
      <w:r>
        <w:t>Justifiée, 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Il n'y a pas lieu d'indemniser, à ce stade, le défenseur d'office (cf. art. 135 al. 2 CPP). * * * * *</w:t>
      </w:r>
    </w:p>
    <w:p>
      <w:r>
        <w:t>- 5/6 - P/14650/2020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