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ACPR/685/2021 vom 25. August 2021</w:t>
      </w:r>
    </w:p>
    <w:p>
      <w:r>
        <w:t>GE Cour de justice, 2021-08-25, FR</w:t>
      </w:r>
    </w:p>
    <w:p>
      <w:r>
        <w:rPr>
          <w:b/>
        </w:rPr>
        <w:t xml:space="preserve">Quelle: </w:t>
      </w:r>
      <w:r>
        <w:t>https://mcp.opencaselaw.ch/entscheid/ge_gerichte_ACPR_685_2021</w:t>
      </w:r>
    </w:p>
    <w:p>
      <w:r>
        <w:t>FR: GE_GERICHTE ACPR/685/2021 du 25 août 2021</w:t>
      </w:r>
    </w:p>
    <w:p>
      <w:r>
        <w:t>IT: GE_GERICHTE ACPR/685/2021 del 25 agosto 2021</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soutient implicitement que, pour avoir été en arrêt de travail prolongé, elle avait été victime de lésions corporelles imputables à B______.</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En principe, une non-entrée en matière ne peut être prononcée par le ministère public que lorsqu'il apparaît clairement que les faits ne sont pas punissables ou que les conditions à la poursuite pénale ne sont pas remplies (ATF 146 IV 68 consid. 2.1 p. 69).</w:t>
      </w:r>
    </w:p>
    <w:p>
      <w:r>
        <w:rPr>
          <w:b/>
        </w:rPr>
        <w:t>E. 3.2</w:t>
      </w:r>
    </w:p>
    <w:p>
      <w:r>
        <w:t>En l’occurrence, la recourante échoue à établir un arrêt de travail continu entre la date de l'accident et le "10 janvier 2021". Le premier certificat médical, joint à sa plainte pénale, ne constatait qu'une incapacité de travail (totale) d'une semaine. Le deuxième, joint au recours, prend effet à 100 % dès le 18 novembre 2021 – soit plus d'un mois après la fin du premier arrêt et, donc, plus d'un mois après la reprise complète du travail –. Combiné avec le troisième, on comprend que la capacité de travail de la recourante est remontée à 50 % entre les 11 et 28 janvier 2021, pour redevenir totale dès cette date. Par ailleurs, voire surtout, la recourante ne rend vraisemblable aucune lésion corporelle ni aucune séquelle causées par l'accident, alors qu'il lui eût aisé de</w:t>
      </w:r>
    </w:p>
    <w:p>
      <w:r>
        <w:t>- 4/6 - P/11490/2021 documenter l'une et l'autre. Une interruption de travail d'une semaine, immédiatement après les faits, ne signifie pas sans autre qu'elle aurait été la victime de lésions corporelles, au sens de la loi. Aucun lien de causalité n'est rendu vraisemblable entre la seconde incapacité totale de travail et le heurt du 2 octobre 2020 ni, a fortiori, avec une reprise à 50 % au début de l'année 2021. L'état et le comportement du conducteur impliqué, tout comme celui de ses passagers, sont sans importance à cet égard.</w:t>
      </w:r>
    </w:p>
    <w:p>
      <w:r>
        <w:rPr>
          <w:b/>
        </w:rPr>
        <w:t>E. 4</w:t>
      </w:r>
    </w:p>
    <w:p>
      <w:r>
        <w:t>Infondé, le recours sera rejeté.</w:t>
      </w:r>
    </w:p>
    <w:p>
      <w:r>
        <w:rPr>
          <w:b/>
        </w:rPr>
        <w:t>E. 5</w:t>
      </w:r>
    </w:p>
    <w:p>
      <w:r>
        <w:t>La recourante, qui n’a pas gain de cause, supportera les frais envers l'État, fixés en totalité à CHF 900.-, y compris un émolument (art. 428 al. 1 CPP et 13 al. 1 du Règlement fixant le tarif des frais en matière pénale, RTFMP ; E 4 10.03). * * * * *</w:t>
      </w:r>
    </w:p>
    <w:p>
      <w:r>
        <w:t>- 5/6 - P/11490/2021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