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ACPR/682/2018 vom 1. Juni 2018</w:t>
      </w:r>
    </w:p>
    <w:p>
      <w:r>
        <w:t>GE Cour de justice, 2018-06-01, FR</w:t>
      </w:r>
    </w:p>
    <w:p>
      <w:r>
        <w:rPr>
          <w:b/>
        </w:rPr>
        <w:t xml:space="preserve">Quelle: </w:t>
      </w:r>
      <w:r>
        <w:t>https://mcp.opencaselaw.ch/entscheid/ge_gerichte_ACPR_682_2018</w:t>
      </w:r>
    </w:p>
    <w:p>
      <w:r>
        <w:t>FR: GE_GERICHTE ACPR/682/2018 du 1 juin 2018</w:t>
      </w:r>
    </w:p>
    <w:p>
      <w:r>
        <w:t>IT: GE_GERICHTE ACPR/682/2018 del 1 giugno 2018</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a été formé par le plaignant, partie à la procédure (art. 104 al. 1 let. b CPP).</w:t>
      </w:r>
    </w:p>
    <w:p>
      <w:r>
        <w:rPr>
          <w:b/>
        </w:rPr>
        <w:t>E. 1.2</w:t>
      </w:r>
    </w:p>
    <w:p>
      <w:r>
        <w:t>Selon l'art. 382 al. 1 CPP, toute partie qui a un intérêt juridiquement protégé à l'annulation ou à la modification d'une décision a qualité pour recourir contre celle- ci.</w:t>
      </w:r>
    </w:p>
    <w:p>
      <w:r>
        <w:rPr>
          <w:b/>
        </w:rPr>
        <w:t>E. 1.2.1</w:t>
      </w:r>
    </w:p>
    <w:p>
      <w:r>
        <w:t>La partie plaignante a qualité de partie à la procédure (art. 104 al. 1 let. b CPP).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L'art. 251 CP protège, en tant que bien juridique, d'une part la confiance particulière placée dans un titre ayant valeur probante dans les rapports juridiques et, d'autre part, la loyauté dans les relations commerciales (ATF 129 IV 53 consid. 3.2). Elle vise d'abord un bien juridique collectif. Toutefois, le faux dans les titres peut également porter atteinte à des intérêts individuels. Une personne peut donc être considérée comme lésée par un faux dans les titres lorsque le faux vise précisément à</w:t>
      </w:r>
    </w:p>
    <w:p>
      <w:r>
        <w:t>5/10 -</w:t>
      </w:r>
    </w:p>
    <w:p>
      <w:r>
        <w:t>P/3378/2018</w:t>
      </w:r>
    </w:p>
    <w:p>
      <w:r>
        <w:t>lui nuire (ATF 119 Ia 342 consid. 2b ; arrêt du Tribunal fédéral 6B_496/2012 du 18 avril 2013 consid. 5.2).</w:t>
      </w:r>
    </w:p>
    <w:p>
      <w:r>
        <w:rPr>
          <w:b/>
        </w:rPr>
        <w:t>E. 1.2.3</w:t>
      </w:r>
    </w:p>
    <w:p>
      <w:r>
        <w:t>En l'espèce, le recourant se plaint, en lien avec le rapport litigieux, d'un faux dans les titres. Dès lors qu'il était le sujet des faits relatés dans ledit document, qui a fondé, selon lui, son licenciement et, partant, porté préjudice à ses intérêts pécuniaires, il convient d'admettre que - sans examiner à ce stade si le rapport en question vaut titre au sens de l'art. 251 CP, - il a la qualité pour recourir.</w:t>
      </w:r>
    </w:p>
    <w:p>
      <w:r>
        <w:rPr>
          <w:b/>
        </w:rPr>
        <w:t>E. 1.3</w:t>
      </w:r>
    </w:p>
    <w:p>
      <w:r>
        <w:t>Le recours est donc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et les références ; ATF 138 IV 130 consid. 2.1 ; arrêts du Tribunal fédéral 6B_55/2017 du 24 mars 2017 consid. 2.2 ; 6B_117/2015 du 11 février 2016 consid. 2.4.1).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 125 IV 273 consid. 3a ; arrêt du Tribunal fédéral 6B_589/2009 du 14 septembre 2009 consid. 2.1.1).</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w:t>
      </w:r>
    </w:p>
    <w:p>
      <w:r>
        <w:t>Le recourant considère que le rapport rédigé par le mis en cause est constitutif d'un faux dans les titres.</w:t>
      </w:r>
    </w:p>
    <w:p>
      <w:r>
        <w:rPr>
          <w:b/>
        </w:rPr>
        <w:t>E. 4.1</w:t>
      </w:r>
    </w:p>
    <w:p>
      <w:r>
        <w:t>L'art. 251 ch. 1 CP réprime le comportement de celui qui, dans le dessein de porter atteinte aux intérêts pécuniaires ou aux droits d'autrui, ou de se procurer ou</w:t>
      </w:r>
    </w:p>
    <w:p>
      <w:r>
        <w:t>6/10 -</w:t>
      </w:r>
    </w:p>
    <w:p>
      <w:r>
        <w:t>P/3378/2018</w:t>
      </w:r>
    </w:p>
    <w:p>
      <w:r>
        <w:t>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on parle de "valeur probante accrue". L'art. 110 al. 4 CP définit les titres comme les écrits destinés et propres à prouver un fait ayant une portée juridique et tous les signes destinés à prouver un tel fait.</w:t>
      </w:r>
    </w:p>
    <w:p>
      <w:r>
        <w:rPr>
          <w:b/>
        </w:rPr>
        <w:t>E. 4.2</w:t>
      </w:r>
    </w:p>
    <w:p>
      <w:r>
        <w:t>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 Le faux intellectuel vise l'établissement d'un titre qui émane de son auteur apparent, mais qui est mensonger dans la mesure où son contenu ne correspond pas à la réalité (AF 142 IV 119 consid. 2.1 ; ATF 138 IV 130 consid. 2.1 ;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w:t>
      </w:r>
    </w:p>
    <w:p>
      <w:r>
        <w:t>7/10 -</w:t>
      </w:r>
    </w:p>
    <w:p>
      <w:r>
        <w:t>P/3378/2018</w:t>
      </w:r>
    </w:p>
    <w:p>
      <w:r>
        <w:t>que le document est digne de confiance, de telle sorte qu'une vérification par le destinataire n'est pas nécessaire et ne saurait être exigée (ATF 142 IV 119 consid.</w:t>
      </w:r>
    </w:p>
    <w:p>
      <w:r>
        <w:rPr>
          <w:b/>
        </w:rPr>
        <w:t>E. 4.3</w:t>
      </w:r>
    </w:p>
    <w:p>
      <w:r>
        <w:t>En l'occurrence, le document litigieux décrit un évènement qui s'est produit le 23 novembre 2017 au poste de sécurité ______ [place de travail aménagée d'un appareil informatique] à ______ [lieu de travail]. Il a été rédigé par le supérieur hiérarchique du recourant. Ce document, comme l'indique son intitulé "Rapport de service interne ______", constitue un simple rapport de service affecté à un usage interne à l'entreprise et n'était donc destiné qu'à rapporter un évènement qui s'était produit sur le lieu de travail. Il ne revêtait aucune obligation de véracité quant à son contenu et n'était pas destiné, ni propre, à prouver un fait ayant une portée juridique. Ainsi, n'ayant pas valeur de titre, le fait que, selon le recourant, le contenu du rapport ne correspondrait pas à la réalité ne permet pas d'imputer à son auteur une infraction à l'art. 251 CP. Partant, les actes d'instruction sollicités par le recourant, en particulier son audition, celle du mis en cause et des personnes citées dans le rapport litigieux ne sont pas de nature à apporter d'élément complémentaire probant concernant l'existence ou non d'un titre.</w:t>
      </w:r>
    </w:p>
    <w:p>
      <w:r>
        <w:rPr>
          <w:b/>
        </w:rPr>
        <w:t>E. 5</w:t>
      </w:r>
    </w:p>
    <w:p>
      <w:r>
        <w:t>Le recourant reproche au Ministère public d'avoir considéré que le mis en cause n'avait pas porté atteinte à son honneur.</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w:t>
      </w:r>
    </w:p>
    <w:p>
      <w:r>
        <w:t>8/10 -</w:t>
      </w:r>
    </w:p>
    <w:p>
      <w:r>
        <w:t>P/3378/2018</w:t>
      </w:r>
    </w:p>
    <w:p>
      <w:r>
        <w:t>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et les arrêts cités).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w:t>
      </w:r>
    </w:p>
    <w:p>
      <w:r>
        <w:rPr>
          <w:b/>
        </w:rPr>
        <w:t>E. 5.2</w:t>
      </w:r>
    </w:p>
    <w:p>
      <w:r>
        <w:t>En l'espèce, le recourant estime que le fait d'être accusé de se disputer avec un collègue sur son lieu de travail, de prendre "les gens de haut", de mépriser les objets nécessaires à l'accomplissement de ses tâches et d'être une personne colérique, est attentatoire à son honneur. Or, les comportements ainsi décrits relèvent des qualités professionnelles du recourant, réputation qui n'est pas protégée par l'art. 173 CP, conformément à la jurisprudence précitée. Le fait d'être décrit comme colérique, hautain et, à une occasion, irrespectueux vis-à-vis du matériel, n'était pas propre à le faire apparaître comme une personne méprisable. C'est donc avec raison que le Ministère public a considéré que les infractions susmentionnées n'étaient pas non plus réalisées.</w:t>
      </w:r>
    </w:p>
    <w:p>
      <w:r>
        <w:rPr>
          <w:b/>
        </w:rPr>
        <w:t>E. 6</w:t>
      </w:r>
    </w:p>
    <w:p>
      <w:r>
        <w:t>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 E 4 10.03), y compris un émolument de décision. Vu l'issue de la cause, la conclusion relative au versement d'une indemnité valant participation équitable aux honoraires d'avocat du recourant sera rejetée (art. 433 al. 1 let. a CPP a contrario). * * * * *</w:t>
      </w:r>
    </w:p>
    <w:p>
      <w:r>
        <w:t>9/10 -</w:t>
      </w:r>
    </w:p>
    <w:p>
      <w:r>
        <w:t>P/3378/2018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