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ACPR/681/2021 vom 8. September 2021</w:t>
      </w:r>
    </w:p>
    <w:p>
      <w:r>
        <w:t>GE Cour de justice, 2021-09-08, FR</w:t>
      </w:r>
    </w:p>
    <w:p>
      <w:r>
        <w:rPr>
          <w:b/>
        </w:rPr>
        <w:t xml:space="preserve">Quelle: </w:t>
      </w:r>
      <w:r>
        <w:t>https://mcp.opencaselaw.ch/entscheid/ge_gerichte_ACPR_681_2021</w:t>
      </w:r>
    </w:p>
    <w:p>
      <w:r>
        <w:t>FR: GE_GERICHTE ACPR/681/2021 du 8 septembre 2021</w:t>
      </w:r>
    </w:p>
    <w:p>
      <w:r>
        <w:t>IT: GE_GERICHTE ACPR/681/2021 del 8 settembre 2021</w:t>
      </w:r>
    </w:p>
    <w:p>
      <w:pPr>
        <w:pStyle w:val="Heading2"/>
      </w:pPr>
      <w:r>
        <w:t>Erwägungen</w:t>
      </w:r>
    </w:p>
    <w:p>
      <w:r>
        <w:rPr>
          <w:b/>
        </w:rPr>
        <w:t>E. 1</w:t>
      </w:r>
    </w:p>
    <w:p>
      <w:r>
        <w:t>Le recours est recevable pour avoir été déposé selon la forme et dans le délai prescrits (art. 384 let. a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w:t>
      </w:r>
    </w:p>
    <w:p>
      <w:r>
        <w:t>- 4/7 - P/15442/21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1B_344/2017 du 20 septembre 2017 consid. 4.1).</w:t>
      </w:r>
    </w:p>
    <w:p>
      <w:r>
        <w:rPr>
          <w:b/>
        </w:rPr>
        <w:t>E. 2.2</w:t>
      </w:r>
    </w:p>
    <w:p>
      <w:r>
        <w:t>En l'espèce, le recourant passe sous silence tous les indices à l'appui de sa participation à l'arrachage de la montre, pour ne mettre en exergue que le fait qu'un seul (autre) homme a été vu comme l'auteur direct du vol. Il n'explique pas pour quelle raison plausible il faisait partie des deux personnes – dont l'auteur direct – qui ont pris la fuite sur ces entrefaites, ni pourquoi et dans quel but ils s'étaient avisés de revenir sur leurs pas peu après s'être croisés avec la victime, laquelle portait de façon visible sa montre au poignet. Or, l'exploitation du contenu du téléphone portable du recourant montre précisément son intérêt (et ses connaissances) pour les montres de prix, y compris de la marque dont son comparse s'est emparé, ainsi que pour les personnes qui les portent de façon ouverte et reconnaissable dans l'espace public. Ces indices fondent, quoi qu'il en dise, des charges suffisantes de coactivité de brigandage.</w:t>
      </w:r>
    </w:p>
    <w:p>
      <w:r>
        <w:rPr>
          <w:b/>
        </w:rPr>
        <w:t>E. 3</w:t>
      </w:r>
    </w:p>
    <w:p>
      <w:r>
        <w:t>Le recourant invoque une violation du principe de célérité. À tort. Rien, dans la conduite de l'instruction, ne tend à montrer de temps mort injustifié. Même si les investigations auxquelles se réfère la décision attaquée étaient achevées à la date du présent arrêt, rien ne montrerait, non plus, que les autorités judiciaires pénales du canton ne seraient pas en mesure de faire juger rapidement le recourant, au point que sa mise en liberté s'imposerait (ATF 140 IV 74 consid. 3.2. p. 80). Au contraire : le Ministère public a aussi fondé la durée de sa demande de prolongation sur la prochaine clôture de l'instruction et le renvoi en jugement du recourant. Par ailleurs, celui-ci s'expose à une peine privative de liberté de six mois au moins (art. 140 ch. 1), soit une durée qui n'est pas atteinte à ce jour et ne le sera pas à l'expiration du délai fixé dans la décision attaquée.</w:t>
      </w:r>
    </w:p>
    <w:p>
      <w:r>
        <w:rPr>
          <w:b/>
        </w:rPr>
        <w:t>E. 4</w:t>
      </w:r>
    </w:p>
    <w:p>
      <w:r>
        <w:t>Pour le surplus, le recourant ne conteste aucun des risques qui appuient son maintien en détention. À juste titre. Il présente un risque de fuite patent (art. 221 al. 1 let. a CPP), puisqu'il n'a aucun lien autre que délictueux avec le territoire helvétique.</w:t>
      </w:r>
    </w:p>
    <w:p>
      <w:r>
        <w:rPr>
          <w:b/>
        </w:rPr>
        <w:t>E. 5</w:t>
      </w:r>
    </w:p>
    <w:p>
      <w:r>
        <w:t>Sous l'angle du principe de la proportionnalité (art. 197 al. 1 CPP), le grief fondé sur la pandémie est hors de propos. Le recourant ne fournit à l'appui de son recours aucun élément propre à confirmer la présence de cas déclarés de coronavirus au sein de la prison de B______ parmi les détenus ou les gardiens, voire sur sa personne. Comme déjà jugé à maintes reprises par la Chambre de céans – alors que la situation sanitaire était notoirement plus alarmante qu'actuellement –, la pandémie n'est pas</w:t>
      </w:r>
    </w:p>
    <w:p>
      <w:r>
        <w:t>- 5/7 - P/15442/21 suffisante pour justifier, à elle seule, la libération d'un prévenu, la prison de B______ étant équipée d'un service médical et la crainte d'une infection n'impliquant pas que le recourant serait privé de soins, si nécessaire (ACPR/55/2021 du 25 janvier 2021 consid. 6; ACPR/5/2021 du 8 janvier 2021 consid. 7.2; ACPR/902/2020 du 11 décembre 2020 consid. 5.2.; ACPR/304/2020 du 13 mai 2020 consid. 5; ACPR/282/2020 du 5 mai 2020 consid. 8; ACPR/207/2020 du 18 mars 2020 consid. 5).</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6.2</w:t>
      </w:r>
    </w:p>
    <w:p>
      <w:r>
        <w:t>En l'espèce, le recourant a repris en instance de recours les motifs soulevés en vain lors des deux précédents examens de sa cause par le TMC. Quand bien même ce n'était pas le lieu de discuter du bien-fondé des charges comme devant le juge du fond, on peut admettre qu'un contrôle de celles-ci par une autorité de recours se justifiait. L'indemnité de son avocat sera cependant fixée à la fin de la procédure (art. 135 al. 2 CPP).</w:t>
      </w:r>
    </w:p>
    <w:p>
      <w:r>
        <w:rPr>
          <w:b/>
        </w:rPr>
        <w:t>E. 6.3</w:t>
      </w:r>
    </w:p>
    <w:p>
      <w:r>
        <w:t>Même dans cette situation, les frais de l'instance – dès lors que le recourant n'a pas gain de cause – doivent, en revanche, être fixés (arrêts du Tribunal fédéral 1B_372/2014 du 8 avril 2015 consid. 4.6 et 1B_203/2011 du 18 mai 2011 consid. 4). En l'occurrence, ils seront arrêtés à CHF 900.-, émolument de décision compris (art. 428 al. 1 CPP et 13 al. 1 du Règlement fixant le tarif des frais en matière pénale, RTFMP; E 4 10.03). * * * * *</w:t>
      </w:r>
    </w:p>
    <w:p>
      <w:r>
        <w:t>- 6/7 - P/15442/21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