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ACPR/67/2025 vom 11. Dezember 2024</w:t>
      </w:r>
    </w:p>
    <w:p>
      <w:r>
        <w:t>GE Cour de justice, 2024-12-11, FR</w:t>
      </w:r>
    </w:p>
    <w:p>
      <w:r>
        <w:rPr>
          <w:b/>
        </w:rPr>
        <w:t xml:space="preserve">Quelle: </w:t>
      </w:r>
      <w:r>
        <w:t>https://mcp.opencaselaw.ch/entscheid/ge_gerichte_ACPR_67_2025</w:t>
      </w:r>
    </w:p>
    <w:p>
      <w:r>
        <w:t>FR: GE_GERICHTE ACPR/67/2025 du 11 décembre 2024</w:t>
      </w:r>
    </w:p>
    <w:p>
      <w:r>
        <w:t>IT: GE_GERICHTE ACPR/67/2025 del 11 dicembre 2024</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l'ordonnance constitue une "autre décision ultérieure" indépendante au sens de l'art. 363 al. 3 CPP (arrêts du Tribunal fédéral 6B_1136/2015 du 18 juillet 2016 consid. 4.3 ; 6B_158/2013 du 25 avril 2013 consid. 2.1 ; Y. JEANNERET/A. KUHN/C. PERRIER DEPEURSINGE (éds), Commentaire romand, Code de procédure pénale suisse, 2ème éd., Bâle 2019, n. 30 ad art. 363 CPP).</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 bien que sommairement motivé, le recours et son but, soit l'annulation de l'ordonnance querellée et l'octroi de la libération conditionnelle, demeurent compréhensibles – et délai prescrits (art. 385 al. 1, 390 al. 1 et 396 al. 1 CPP) par le condamné, qui a un intérêt juridiquement protégé à l'annulation ou à la modification de la décision querellée (art. 382 al. 1 CPP).</w:t>
      </w:r>
    </w:p>
    <w:p>
      <w:r>
        <w:rPr>
          <w:b/>
        </w:rPr>
        <w:t>E. 1.4.1</w:t>
      </w:r>
    </w:p>
    <w:p>
      <w:r>
        <w:t>Selon l'art. 110 al. 1 CPP, les requêtes écrites doivent être datées et signées. La signature doit être manuscrite au sens de l'art. 14 CO. L'acte sur lequel la signature n'est que reproduite (photocopie, facsimilé) n'est pas valable (cf. ATF 121 II 252). De même, en dehors de la transmission par voie électronique avec une signature électronique valable (art. 110 al. 2 CPP), un simple courriel ne satisfait pas à la forme écrite (ACPR/71/2024 du 31 janvier 2024 ; ACPR/387/2020 du 8 juin 2020 ; ACPR/196/2019 du 11 mars 2019).</w:t>
      </w:r>
    </w:p>
    <w:p>
      <w:r>
        <w:rPr>
          <w:b/>
        </w:rPr>
        <w:t>E. 1.4.2</w:t>
      </w:r>
    </w:p>
    <w:p>
      <w:r>
        <w:t>Le courriel expédié par le recourant le 23 décembre 2024 au Tribunal pénal est irrecevable, de même que les pièces qui l'accompagnent, faute de respecter la forme exigée par la loi.</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t>- 7/11 - PM/1301/2024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arrêt du Tribunal fédéral 7B_678/2023 du 27 octobre 2023 consid. 2.2.2).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 du Tribunal fédéral 7B_678/2023 du 27 octobre 2023 précité consid. 2.2.2).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3.2</w:t>
      </w:r>
    </w:p>
    <w:p>
      <w:r>
        <w:t>En l'espèce, les conditions de principe d'une libération conditionnelle sont réalisées dans la mesure où le recourant a exécuté les deux tiers de sa peine, et au moins trois mois de détention. Cela étant, l'ordonnance querellée retient que le pronostic est défavorable quant au risque de récidive. Force est de constater que les arguments avancés par l'autorité précédente convainquent, car ils correspondent aux constatations de faits pertinentes résultant du dossier. En effet, l'essentiel des condamnations prononcées à l'encontre du recourant sont liées à sa consommation de stupéfiants. Or, la fragilité de son abstinence a été démontrée par son attitude lors de la sortie dont il a bénéficié au mois d'octobre dernier, lorsqu'il a consommé de manière effrénée des stupéfiants variés, sachant pertinemment qu'il serait testé à son retour. De plus, comme il l'a exposé lui-même au premier juge, la commission d'infractions est liée à l'absence de domicile fixe et d'emploi. Or, à ce</w:t>
      </w:r>
    </w:p>
    <w:p>
      <w:r>
        <w:t>- 8/11 - PM/1301/2024 stade, son projet de vie ne permet d'assurer ni l'un, ni l'autre, puisque ses affirmations selon lesquelles il serait hébergé par ses parents ne sont pas étayées par une attestation signée de ceux-ci et que la perspective de trouver un emploi dans une boulangerie, de travailler comme sculpteur ou de décrocher des rôles repose exclusivement sur les affirmations du recourant ou sur des documents qu'il a lui-même élaborés. Il n'existe donc pas d'éléments objectifs qui permettent d'attester de la solidité de ses projets, respectivement, de leur faculté à le tenir éloigné de la commission de nouvelles infractions. Au contraire, il semble qu'en l'état, à sa sortie, le recourant se trouvera dans une situation similaire, si ce n'est identique, à celle qui l'avait mené à commettre des infractions, soit sans revenu et sans domicile. Les considérations du premier juge sont d'autant plus pertinentes et nuancées qu'elles soulignent les bénéfices pluriels dont le recourant pourra bénéficier lors de son séjour carcéral, tant sous l'angle de la diminution de la consommation de stupéfiants que sous celui de la mise en place d'un projet de vie réaliste et concret, deux facteurs essentiels à la diminution du risque de récidive. Par conséquent, le premier juge a retenu à bon droit un pronostic défavorable. Ainsi, le recours sera rejeté et la décision entreprise confirmée.</w:t>
      </w:r>
    </w:p>
    <w:p>
      <w:r>
        <w:rPr>
          <w:b/>
        </w:rPr>
        <w:t>E. 4</w:t>
      </w:r>
    </w:p>
    <w:p>
      <w:r>
        <w:t>Le recourant, qui succombe, supportera les frais envers l'État, fixés en totalité à CHF 600.- (art. 428 al. 1 CPP et 13 al. 1 du Règlement fixant le tarif des frais en matière pénale, RTFMP ; E 4 10.03).</w:t>
      </w:r>
    </w:p>
    <w:p>
      <w:r>
        <w:t>- 9/11 - PM/1301/2024</w:t>
      </w:r>
    </w:p>
    <w:p>
      <w:r>
        <w:rPr>
          <w:b/>
        </w:rPr>
        <w:t>E. 5</w:t>
      </w:r>
    </w:p>
    <w:p>
      <w:r>
        <w:t>Le recourant demande la nomination d'un avocat d'office.</w:t>
      </w:r>
    </w:p>
    <w:p>
      <w:r>
        <w:rPr>
          <w:b/>
        </w:rPr>
        <w:t>E. 5.1</w:t>
      </w:r>
    </w:p>
    <w:p>
      <w:r>
        <w:t>À teneur des art. 29 al. 3 Cst et 132 al. 1 let. b CPP,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Le droit à l'assistance juridique n'est pas donné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 129 I 129 consid. 2.2).</w:t>
      </w:r>
    </w:p>
    <w:p>
      <w:r>
        <w:rPr>
          <w:b/>
        </w:rPr>
        <w:t>E. 5.2</w:t>
      </w:r>
    </w:p>
    <w:p>
      <w:r>
        <w:t>En l'espèce, les griefs du recourant étaient dénués de chances de succès, comme le démontre le raisonnement exposé ci-dessus. Partant, l'assistance d'un avocat rémunéré par l'État ne se justifiait pas. * * * * *</w:t>
      </w:r>
    </w:p>
    <w:p>
      <w:r>
        <w:t>- 10/11 - PM/1301/2024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