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ACPR/67/2023 vom 2. November 2022</w:t>
      </w:r>
    </w:p>
    <w:p>
      <w:r>
        <w:t>GE Cour de justice, 2022-11-02, FR</w:t>
      </w:r>
    </w:p>
    <w:p>
      <w:r>
        <w:rPr>
          <w:b/>
        </w:rPr>
        <w:t xml:space="preserve">Quelle: </w:t>
      </w:r>
      <w:r>
        <w:t>https://mcp.opencaselaw.ch/entscheid/ge_gerichte_ACPR_67_2023</w:t>
      </w:r>
    </w:p>
    <w:p>
      <w:r>
        <w:t>FR: GE_GERICHTE ACPR/67/2023 du 2 novembre 2022</w:t>
      </w:r>
    </w:p>
    <w:p>
      <w:r>
        <w:t>IT: GE_GERICHTE ACPR/67/2023 del 2 novembre 2022</w:t>
      </w:r>
    </w:p>
    <w:p>
      <w:pPr>
        <w:pStyle w:val="Heading2"/>
      </w:pPr>
      <w:r>
        <w:t>Erwägungen</w:t>
      </w:r>
    </w:p>
    <w:p>
      <w:r>
        <w:rPr>
          <w:b/>
        </w:rPr>
        <w:t>E. 3</w:t>
      </w:r>
    </w:p>
    <w:p>
      <w:r>
        <w:t>Justifié, le jugement entrepris sera donc confirmé.</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La procédure étant ici close (art. 135 al. 2 CPP), des dépens seront alloués à l'avocat d'office, qui les a chiffrés et détaillés.</w:t>
      </w:r>
    </w:p>
    <w:p>
      <w:r>
        <w:rPr>
          <w:b/>
        </w:rPr>
        <w:t>E. 5.1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chef d'étude (art. 16 al. 1 let. c RAJ) et CHF 110.- pour un avocat-stagiaire (art. 16 al. 1 let. a RAJ).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arrêt du Tribunal fédéral 6B_856/2014 du 10 juillet 2015 consid. 2.3).</w:t>
      </w:r>
    </w:p>
    <w:p>
      <w:r>
        <w:rPr>
          <w:b/>
        </w:rPr>
        <w:t>E. 5.2</w:t>
      </w:r>
    </w:p>
    <w:p>
      <w:r>
        <w:t>En l'occurrence, le conseil juridique du recourant a produit son état de frais, totalisant une activité de 18h48 pour un avocat-stagiaire et 0h42 pour un chef d'étude. Le décompte inclut 10h36 d'activité (dont les 0h42 effectués par le chef d'étude) portant le libellé "Déterminations au TAPEM pour la libération conditionnelle".</w:t>
      </w:r>
    </w:p>
    <w:p>
      <w:r>
        <w:t>- 10/12 - PM/977/2022 L'examen et la fixation de l'indemnisation de ces durées n'appartiennent pas à la Chambre de céans mais au TAPEM, auprès de qui le défenseur d'office devait faire valoir ses prétentions (art. 135 al. 2 CPP). Seule l'activité déployée auprès de l'instance de recours sera donc indemnisée ici. Or, les 8h54 réclamés paraissent excessives, compte tenu du mémoire de recours (dix pages, page de garde incluse), lequel reprend dans les grandes lignes les déterminations au TAPEM, et de la réplique (deux pages); l'indemnité sera dès lors réduite à 5h00, au tarif horaire de CHF 110.- pour un avocat-stagiaire. L'indemnité due pour l'instance de recours sera ainsi fixée à CHF 592.35, TVA à 7.7% incluse. * * * * *</w:t>
      </w:r>
    </w:p>
    <w:p>
      <w:r>
        <w:t>- 11/12 - PM/977/2022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