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ACPR/677/2023 vom 17. August 2023</w:t>
      </w:r>
    </w:p>
    <w:p>
      <w:r>
        <w:t>GE Cour de justice, 2023-08-17, FR</w:t>
      </w:r>
    </w:p>
    <w:p>
      <w:r>
        <w:rPr>
          <w:b/>
        </w:rPr>
        <w:t xml:space="preserve">Quelle: </w:t>
      </w:r>
      <w:r>
        <w:t>https://mcp.opencaselaw.ch/entscheid/ge_gerichte_ACPR_677_2023</w:t>
      </w:r>
    </w:p>
    <w:p>
      <w:r>
        <w:t>FR: GE_GERICHTE ACPR/677/2023 du 17 août 2023</w:t>
      </w:r>
    </w:p>
    <w:p>
      <w:r>
        <w:t>IT: GE_GERICHTE ACPR/677/2023 del 17 agosto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déclare expressément ne contester que la durée accordée de la prolongation de sa détention provisoire. Ainsi, il ne conteste ni les charges retenues contre lui ni les risques de fuite, collusion et réitération pas plus que l'absence de mesures de substitution pouvant les pallier. Il ne soutient en outre pas que le Ministère public aurait violé le principe de célérité au cours de la procédure d'instruction, ni que la détention déjà subie violerait le principe de proportionnalité.</w:t>
      </w:r>
    </w:p>
    <w:p>
      <w:r>
        <w:t>- 4/7 - P/11376/2022 La Chambre de céans n'a donc pas à se pencher sur ces questions.</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avant jugement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du Tribunal fédéral 7B_402/2023 du 22 août 2023 consid. 5.2).</w:t>
      </w:r>
    </w:p>
    <w:p>
      <w:r>
        <w:rPr>
          <w:b/>
        </w:rPr>
        <w:t>E. 3.2</w:t>
      </w:r>
    </w:p>
    <w:p>
      <w:r>
        <w:t>En l'espèce, il apparaît nécessaire de rappeler certaines réalités factuelles et procédurales. Le Ministère public doit confronter, en l'état, trois détenus aux résultats de plusieurs rapports de police, qu'il a reçus pour certains et pas encore pour d'autres, et auxquels les concernés auront accès ensuite. Le respect de leur droit d'être entendu imposera probablement de procéder à d'autres audiences à leur sujet. Ignorant le contenu de ces rapports, on ne peut exclure que d'autres actes d'instruction soient envisagés. Avant la rédaction de l'acte d'accusation, le recourant semble avoir omis que le Procureur doit adresser un avis de prochaine clôture de l'instruction octroyant un délai raisonnable aux autres prévenus du recourant pour solliciter certains actes – la "démonstration" du recourant laissant penser qu'il a déjà décidé de ne pas en solliciter –. Enfin, il n'appartient pas au recourant de dicter son agenda au Procureur qui reste maître de son instruction et de la manière dont il entend la mener. Le recours s'avère ainsi totalement infondé et doit être rejeté.</w:t>
      </w:r>
    </w:p>
    <w:p>
      <w:r>
        <w:rPr>
          <w:b/>
        </w:rPr>
        <w:t>E. 4</w:t>
      </w:r>
    </w:p>
    <w:p>
      <w:r>
        <w:t>Le recourant, qui succombe, supportera les frais envers l'État, qui comprendront un émolument de CHF 900.- (art. 428 al. 1 CPP et 13 al. 1 du Règlement fixant le tarif des frais en matière pénale, RTFMP ; E 4 10.03).</w:t>
      </w:r>
    </w:p>
    <w:p>
      <w:r>
        <w:t>- 5/7 - P/11376/2022</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w:t>
      </w:r>
    </w:p>
    <w:p>
      <w:r>
        <w:rPr>
          <w:b/>
        </w:rPr>
        <w:t>E. 5.2</w:t>
      </w:r>
    </w:p>
    <w:p>
      <w:r>
        <w:t>En l'espèce, le recours étant totalement infondé et privé de toute chance de succès, ce dont le conseil nommé d'office pouvait se rendre compte, il n'appartient pas à l'État de prendre en charge les frais de la procédure de recours. * * * * *</w:t>
      </w:r>
    </w:p>
    <w:p>
      <w:r>
        <w:t>- 6/7 - P/11376/2022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