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ACPR/677/2022 vom 1. Juli 2022</w:t>
      </w:r>
    </w:p>
    <w:p>
      <w:r>
        <w:t>GE Cour de justice, 2022-07-01, FR</w:t>
      </w:r>
    </w:p>
    <w:p>
      <w:r>
        <w:rPr>
          <w:b/>
        </w:rPr>
        <w:t xml:space="preserve">Quelle: </w:t>
      </w:r>
      <w:r>
        <w:t>https://mcp.opencaselaw.ch/entscheid/ge_gerichte_ACPR_677_2022</w:t>
      </w:r>
    </w:p>
    <w:p>
      <w:r>
        <w:t>FR: GE_GERICHTE ACPR/677/2022 du 1 juillet 2022</w:t>
      </w:r>
    </w:p>
    <w:p>
      <w:r>
        <w:t>IT: GE_GERICHTE ACPR/677/2022 del 1 luglio 2022</w:t>
      </w:r>
    </w:p>
    <w:p>
      <w:pPr>
        <w:pStyle w:val="Heading2"/>
      </w:pPr>
      <w:r>
        <w:t>Erwägungen</w:t>
      </w:r>
    </w:p>
    <w:p>
      <w:r>
        <w:rPr>
          <w:b/>
        </w:rPr>
        <w:t>E. 1.1</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w:t>
      </w:r>
    </w:p>
    <w:p>
      <w:r>
        <w:t>- 5/9 - P/5009/2022 Le délai est réputé respecté lorsque les sûretés sont remises à l'autorité de recours, versées en sa faveur à la poste suisse, ou encore, débitées d'un compte bancaire ou postal suisse le dernier jour du délai au plus tard (Y. JEANNERET / A. KUHN / C. PERRIER DEPEURSINGE (éds), Commentaire romand : Code de procédure pénale suisse, 2ème éd., Bâle 2019, n. 6 ad art. 383).</w:t>
      </w:r>
    </w:p>
    <w:p>
      <w:r>
        <w:rPr>
          <w:b/>
        </w:rPr>
        <w:t>E. 1.2</w:t>
      </w:r>
    </w:p>
    <w:p>
      <w:r>
        <w:t>Les autorités pénales notifient leurs prononcés par lettre signature ou par tout autre mode de communication impliquant un accusé de réception (art. 85 al. 2 CPP). Le prononcé est réputé notifié si son destinataire ne l'a pas retiré dans les sept jours à compter d'une tentative de remise infructueuse, à condition qu'il ait dû s'attendre à une telle remise (art. 85 al. 4 let. a CPP).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 consid 2a/aa p. 34, arrêt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 34; arrêt 1P.81/2007 du 26 mars 2007 consid. 3.2).</w:t>
      </w:r>
    </w:p>
    <w:p>
      <w:r>
        <w:rPr>
          <w:b/>
        </w:rPr>
        <w:t>E. 1.3</w:t>
      </w:r>
    </w:p>
    <w:p>
      <w:r>
        <w:t>En l'espèce, l'avis de retrait du pli recommandé contenant la demande de sûretés déposé le 3 août 2022. La notification est ainsi intervenue à l'échéance du délai de garde de sept jours, soit le 10 suivant. Or, la recourante n'a pas versé les sûretés dans ce délai. Le fait qu'elle n'ait pris connaissance de la demande de sûretés que le 24 août 2022 est sans pertinence. En effet, cette tardiveté découle d'une prolongation du délai de garde demandée par elle-même, ce qui n'a pas pour effet de prolonger dans la même mesure le délai pour s'exécuter. Dans ces circonstances, le versement des sûretés le 25 août 2022 est tardif et, pour cette raison, le recours devrait être déclaré irrecevable. Cela étant, la recourante, qui comparait en personne, a immédiatement procédé au paiement des sûretés dès réception du pli les lui réclamant, et demandé d'être "graciée", ce qui peut s'apparenter à une demande de restitution au sens de l'art. 94 al. 5 CPP. À cet égard, elle invoque un empêchement non fautif, à savoir qu'elle était en vacances au moment de recevoir ledit pli. Comme le recours s'avère</w:t>
      </w:r>
    </w:p>
    <w:p>
      <w:r>
        <w:t>- 6/9 - P/5009/2022 de toute manière infondé pour les motifs développés ci-après, la réalisation stricte des conditions d'une restitution peut être laissée en suspens.</w:t>
      </w:r>
    </w:p>
    <w:p>
      <w:r>
        <w:rPr>
          <w:b/>
        </w:rPr>
        <w:t>E. 2</w:t>
      </w:r>
    </w:p>
    <w:p>
      <w:r>
        <w:t>Pour le surplus, le recours a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3</w:t>
      </w:r>
    </w:p>
    <w:p>
      <w:r>
        <w:t>La recourante reproche au Ministère public d'avoir renoncé à entrer en matière sur sa plainte.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p. 243; arrêt du Tribunal fédéral 6B_1279/2018 du 26 mars 2019 consid. 2.1). L'art. 125 CP réprime le comportement de celui qui, par négligence, aura fait subir à une personne une atteinte à l'intégrité corporelle ou à la santé.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3.2</w:t>
      </w:r>
    </w:p>
    <w:p>
      <w:r>
        <w:t>En l'espèce, les déclarations de la recourante, d'une part, et du mis en cause, d'autre part, concordent s'agissant des motifs et du but de l'intervention du 14 septembre 2021. Celle-ci visait à poser une résine temporaire sur certaines dents de l'intéressée, pour voir si ce traitement soulageait ses craquements de la mâchoire et ses douleurs. Seule demeure indécise la question de savoir si le mis en cause a uniquement "meulé" la résine comme il l'affirme, ou s'il a "scié" les dents de la recourante, comme elle le soutient. Dans cette dernière hypothèse, la prévention de lésions corporelles pourrait s'avérer suffisante. Hormis les affirmations de la recourante, rien ne permet cependant d'étayer objectivement la version de cette dernière. Le dossier médical de la précitée mentionne en dernier lieu que sa dentition est "complète et saine". Les radiographies</w:t>
      </w:r>
    </w:p>
    <w:p>
      <w:r>
        <w:t>- 7/9 - P/5009/2022 et photographies dont elle se prévaut ne se révèlent pas probantes, malgré les explications qu'elle y apporte, lesquelles consacrent plus des appréciations personnelles qu'un diagnostic médical. Dans ces circonstances, il ne peut être établi que le mis en cause aurait "scié" – de manière contraire à ses devoirs – les dents de la recourante, sans le consentement de celle-ci. Il n'existe dès lors pas de prévention pénale suffisante pour l'ouverture d'une instruction. L'enquête administrative ouverte par la CSPSDP pouvant, selon son résultat, constituer un moyen de preuve nouveau pour demander la reprise de l'instruction (art. 323 via art. 310 al. 2 CPP), il s'avère superflu de suspendre la présente procédure.</w:t>
      </w:r>
    </w:p>
    <w:p>
      <w:r>
        <w:rPr>
          <w:b/>
        </w:rPr>
        <w:t>E. 4</w:t>
      </w:r>
    </w:p>
    <w:p>
      <w:r>
        <w:t>Justifiée, l'ordonnance querellée sera donc confirmée. Le recours, se révélant manifestement mal fondé, pouvait être rejeté sans échange d'écritures ni débats (art. 390 al. 2 et 5 a contrario CPP).</w:t>
      </w:r>
    </w:p>
    <w:p>
      <w:r>
        <w:rPr>
          <w:b/>
        </w:rPr>
        <w:t>E. 5</w:t>
      </w:r>
    </w:p>
    <w:p>
      <w:r>
        <w:t>La recourante, qui succombe, supportera les frais envers l'État, fixés en totalité à CHF 900.- (art. 428 al. 1 CPP et 13 al. 1 du Règlement fixant le tarif des frais en matière pénale, RTFMP ; E 4 10.03). * * * * *</w:t>
      </w:r>
    </w:p>
    <w:p>
      <w:r>
        <w:t>- 8/9 - P/5009/2022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