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ACPR/676/2020 vom 24. April 2020</w:t>
      </w:r>
    </w:p>
    <w:p>
      <w:r>
        <w:t>GE Cour de justice, 2020-04-24, FR</w:t>
      </w:r>
    </w:p>
    <w:p>
      <w:r>
        <w:rPr>
          <w:b/>
        </w:rPr>
        <w:t xml:space="preserve">Quelle: </w:t>
      </w:r>
      <w:r>
        <w:t>https://mcp.opencaselaw.ch/entscheid/ge_gerichte_ACPR_676_2020</w:t>
      </w:r>
    </w:p>
    <w:p>
      <w:r>
        <w:t>FR: GE_GERICHTE ACPR/676/2020 du 24 avril 2020</w:t>
      </w:r>
    </w:p>
    <w:p>
      <w:r>
        <w:t>IT: GE_GERICHTE ACPR/676/2020 del 24 aprile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Il en va de même des pièces nouvelles produites à l'appui de cet acte (arrêts du Tribunal fédéral 1B_368/2014 du 5 février 2015 consid. 3.1 et 3.2 ainsi que 1B_768/2012 du 15 janvier 2013 consid. 2.1).</w:t>
      </w:r>
    </w:p>
    <w:p>
      <w:r>
        <w:rPr>
          <w:b/>
        </w:rPr>
        <w:t>E. 3</w:t>
      </w:r>
    </w:p>
    <w:p>
      <w:r>
        <w:t>La recourante reproche au Ministère public de ne pas être entré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w:t>
      </w:r>
    </w:p>
    <w:p>
      <w:r>
        <w:t>- 9/12 - P/2878/2020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6B_116/2019 du 11 mars 2019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3.3</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w:t>
      </w:r>
    </w:p>
    <w:p>
      <w:r>
        <w:rPr>
          <w:b/>
        </w:rPr>
        <w:t>E. 3.4</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w:t>
      </w:r>
    </w:p>
    <w:p>
      <w:r>
        <w:t>- 10/12 - P/2878/2020</w:t>
      </w:r>
    </w:p>
    <w:p>
      <w:r>
        <w:rPr>
          <w:b/>
        </w:rPr>
        <w:t>E. 3.5</w:t>
      </w:r>
    </w:p>
    <w:p>
      <w:r>
        <w:t>Se rend coupable d'injure celui qui aura, par la parole, l'écriture, l'image, le geste ou par des voies de fait, attaqué autrui dans son honneur (art. 177 al. 1 CP).</w:t>
      </w:r>
    </w:p>
    <w:p>
      <w:r>
        <w:rPr>
          <w:b/>
        </w:rPr>
        <w:t>E. 3.6</w:t>
      </w:r>
    </w:p>
    <w:p>
      <w:r>
        <w:t>En l'espèce, les parties ont fourni des versions contradictoires, la recourante soutenant avoir été violentée par H______ et une dénommée "I______". H______ conteste toute violence physique ou injure à l'endroit de la recourante. Quant à la dénommée "I______", dont l'existence et donc la présence dans l'appartement est contestée par les mis en cause et par le propre père de la recourante, elle n'a pas été entendue par la police, faute d'avoir pu être identifiée. Si la recourante indique, dans sa réplique, qu'il s'agit de I______, elle ne fournit cependant aucun élément supplémentaire qui permettrait de la localiser pour l'entendre, ce nom n'apparaissant pas dans la base de données de l'Office cantonal de la population. Si le constat médical produit mentionne certes des blessures légères, rien ne permet de les attribuer à H______, ce d'autant que la recourante elle-même a déclaré que c'était "I______" qui les lui avait infligées. On relèvera en outre que tant H______ que le père de la recourante ont affirmé de manière concordante que la plaignante présentait déjà, à son arrivée, des dermabrasions sur la pommette gauche et qu'elle leur aurait expliqué s'être blessée elle-même la veille des faits litigieux. Cette blessure et la légère éraflure au front ne coïncident au demeurant pas avec ses allégations selon lesquelles "I______" lui aurait tiré les cheveux, violemment saisie et mordue à la taille et griffé le poignet droit. Ainsi, faute d'autre preuve disponible permettant d'objectiver les faits allégués, les chances d'un acquittement paraissent nettement plus élevées que celles d'une condamnation. Les mesures d'instruction sollicitées par la recourante ne sont pas propres à modifier ce constat. L'audition des médecins n'est en effet pas de nature à éclaircir les faits litigieux, ceux-ci n'ayant pas assisté aux faits et n'ayant fait que rapporter les propres déclarations de la plaignante.</w:t>
      </w:r>
    </w:p>
    <w:p>
      <w:r>
        <w:rPr>
          <w:b/>
        </w:rPr>
        <w:t>E. 4</w:t>
      </w:r>
    </w:p>
    <w:p>
      <w:r>
        <w:t>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étant précisé que l'autorité de deuxième instance est tenue de dresser un état de frais pour la procédure de recours, sans égard à l'obtention ou non de l'assistance judiciaire (arrêt du Tribunal fédéral 1B_203/2011 du 18 mai 2011 consid. 4). * * * * *</w:t>
      </w:r>
    </w:p>
    <w:p>
      <w:r>
        <w:t>- 11/12 - P/2878/2020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