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ACPR/675/2020 vom 29. Mai 2020</w:t>
      </w:r>
    </w:p>
    <w:p>
      <w:r>
        <w:t>GE Cour de justice, 2020-05-29, FR</w:t>
      </w:r>
    </w:p>
    <w:p>
      <w:r>
        <w:rPr>
          <w:b/>
        </w:rPr>
        <w:t xml:space="preserve">Quelle: </w:t>
      </w:r>
      <w:r>
        <w:t>https://mcp.opencaselaw.ch/entscheid/ge_gerichte_ACPR_675_2020</w:t>
      </w:r>
    </w:p>
    <w:p>
      <w:r>
        <w:t>FR: GE_GERICHTE ACPR/675/2020 du 29 mai 2020</w:t>
      </w:r>
    </w:p>
    <w:p>
      <w:r>
        <w:t>IT: GE_GERICHTE ACPR/675/2020 del 29 maggio 2020</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de la plaignante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recourante se plaint d'une violation de son droit d'être entendue, soit en particulier de l'art. 29 al. 2 Cst., pour ne pas avoir pu accéder au dossier avant que le Ministère public rende l'ordonnance querellée et formuler ses réquisitions de preuve.</w:t>
      </w:r>
    </w:p>
    <w:p>
      <w:r>
        <w:rPr>
          <w:b/>
        </w:rPr>
        <w:t>E. 2.1</w:t>
      </w:r>
    </w:p>
    <w:p>
      <w:r>
        <w:t>Diverses mesures d'investigation peuvent être mises en œuvre avant l'ouverture d'une instruction, telle que l'audition des lésés et suspects par la police sur délégation du ministère public (art. 206 al. 1 et 306 al. 2 let. b cum art. 309 al. 2 CPP ; arrêt du Tribunal fédéral 6B_875/2018 du 15 novembre 2018 consid. 2.2.1). Durant cette phase préalable, le droit de participer à l'administration des preuves ne s'applique en principe pas (art. 147 al. 1 CPP a contrario).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2.2</w:t>
      </w:r>
    </w:p>
    <w:p>
      <w:r>
        <w:t>En l'espèce, l'audition du mis en cause et du témoin a été effectuée dans le cadre des investigations policières, sans que le Ministère public n'ouvre une instruction. Dans ces circonstances, la procédure n'a pas dépassé la phase des premières investigations, ce qui permettait au Ministère public de rendre une ordonnance de non-entrée en matière et, partant, le dispensait d'interpeller ou entendre la recourante ou lui donner accès au dossier.</w:t>
      </w:r>
    </w:p>
    <w:p>
      <w:r>
        <w:t>- 6/10 - P/1323/2019 Pour le surplus, la recourante a pu faire valoir devant la Chambre de céans les arguments qu'elle estimait pertinents et présenter ses réquisitions de preuve, ce qu'elle a fait. Son droit d'être entendue a ainsi été pleinement respecté. Il s'ensuit que le grief doit être rejeté.</w:t>
      </w:r>
    </w:p>
    <w:p>
      <w:r>
        <w:rPr>
          <w:b/>
        </w:rPr>
        <w:t>E. 3</w:t>
      </w:r>
    </w:p>
    <w:p>
      <w:r>
        <w:t>juillet 2018 consid. 2.1). Aux termes de l'art. 8 CPP, le ministère public et les tribunaux renoncent à toute poursuite pénale lorsque le droit fédéral le prévoit, notamment lorsque les conditions visées à l'art. 52 CP sont remplies (al. 1). Cette dernière disposition énonce que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des faits punissables revêtant la même qualification (ATF 135 IV consid. 5.3.3).</w:t>
      </w:r>
    </w:p>
    <w:p>
      <w:r>
        <w:rPr>
          <w:b/>
        </w:rPr>
        <w:t>E. 3.1</w:t>
      </w:r>
    </w:p>
    <w:p>
      <w:r>
        <w:t>; 6B_1177/2017 du 16 avril 2018 consid. 2.1). En amont, une telle configuration exclut aussi, en principe, une décision de non-entrée en matière. Cela vaut en particulier lorsqu'il s'agit de délits commis typiquement "entre quatre yeux" pour</w:t>
      </w:r>
    </w:p>
    <w:p>
      <w:r>
        <w:t>- 7/10 - P/1323/2019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 arrêt du Tribunal fédéral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 (arrêt du Tribunal fédéral 6B_193/2018 du</w:t>
      </w:r>
    </w:p>
    <w:p>
      <w:r>
        <w:rPr>
          <w:b/>
        </w:rPr>
        <w:t>E. 3.2</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w:t>
      </w:r>
    </w:p>
    <w:p>
      <w:r>
        <w:rPr>
          <w:b/>
        </w:rPr>
        <w:t>E. 3.3</w:t>
      </w:r>
    </w:p>
    <w:p>
      <w:r>
        <w:t>En l'espèce, le Ministère public soutient que les déclarations des parties concernant les faits survenus durant leur relation sont contradictoires et manquent de précisions temporelles et d'éléments de preuve, de sorte qu'il n'est pas possible d'établir le déroulement des événements. Selon l'autorité intimée, il est établi que le 30 décembre 2018, une altercation est survenue, mais les torts des parties sont selon elle partagés et l'origine et l'enchaînement des événements ne peuvent être établis.</w:t>
      </w:r>
    </w:p>
    <w:p>
      <w:r>
        <w:t>- 8/10 - P/1323/2019 Il ressort toutefois des constats médicaux et photographies nouvellement produits par la recourante que celle-ci présentait, les 1er novembre 2018 et 30 décembre 2018, diverses lésions sur son visage et son corps. Les dates des constats correspondent aux deux épisodes de violence dénoncés par la recourante et corroborent ainsi ses déclarations. De plus, les lésions constatées consistent en plusieurs dermabrasions, tuméfactions, hématomes, ecchymoses et contractures musculaires. Les deux constats attestent en outre d'une certaine récurrence des lésions subies par la recourante. Dans ces circonstances, on ne se trouve pas ici dans un cas bagatelle au sens de l'art. 52 CP. Si les déclarations des parties sont certes contradictoires, force est de retenir que les constats médicaux et les photographies précités sont des éléments objectifs suffisants, en l'état, pour considérer qu'il existe des soupçons suffisants que le mis en cause a causé à la recourante les lésions précitées, dans les circonstances décrites. Ainsi, il convient désormais de confronter le mis en cause aux pièces nouvelles, voire à la fille de la recourante et au témoin.</w:t>
      </w:r>
    </w:p>
    <w:p>
      <w:r>
        <w:rPr>
          <w:b/>
        </w:rPr>
        <w:t>E. 4</w:t>
      </w:r>
    </w:p>
    <w:p>
      <w:r>
        <w:t>Fondé, le recours doit être admis. Partant, l'ordonnance querellée sera annulée et la cause retournée au Ministère public pour qu'il ordonne un complément d'enquête (art. 309 al. 2 CPP) voire ouvre une instruction.</w:t>
      </w:r>
    </w:p>
    <w:p>
      <w:r>
        <w:rPr>
          <w:b/>
        </w:rPr>
        <w:t>E. 5</w:t>
      </w:r>
    </w:p>
    <w:p>
      <w:r>
        <w:t>L'admission du recours ne donnera pas lieu à la perception de frais (art. 428 al. 4 CPP).</w:t>
      </w:r>
    </w:p>
    <w:p>
      <w:r>
        <w:rPr>
          <w:b/>
        </w:rPr>
        <w:t>E. 6</w:t>
      </w:r>
    </w:p>
    <w:p>
      <w:r>
        <w:t>novembre 2019 en sa qualité de prévenue.</w:t>
      </w:r>
    </w:p>
    <w:p>
      <w:r>
        <w:rPr>
          <w:b/>
        </w:rPr>
        <w:t>E. 6.1</w:t>
      </w:r>
    </w:p>
    <w:p>
      <w:r>
        <w:t>La couverture des frais d'avocat de la recourante, partie plaignante, ne saurait intervenir sur la base de la défense d'office, qui lui a été accordée par ordonnance du</w:t>
      </w:r>
    </w:p>
    <w:p>
      <w:r>
        <w:rPr>
          <w:b/>
        </w:rPr>
        <w:t>E. 6.2</w:t>
      </w:r>
    </w:p>
    <w:p>
      <w:r>
        <w:t>Cela étant, conformément à l'art. 433 al. 1 let. a CPP, applicable à la procédure de deuxième instance par le renvoi de l'art. 436 al. 1 CPP, la partie plaignante qui obtient gain de cause peut demander au prévenu une juste indemnité pour les dépenses obligatoires causées par la procédure. Cette indemnité peut, en application du principe selon lequel c'est à la collectivité publique qu'incombe la responsabilité de l'action pénale (ATF 141 IV 476 consid. 1.1.-1.2. ; 139 IV 45 consid. 1.2.), être mise à la charge de l'État lorsque la partie plaignante a gain de cause pour des motifs liés à l'activité du Ministère public</w:t>
      </w:r>
    </w:p>
    <w:p>
      <w:r>
        <w:t>- 9/10 - P/1323/2019 (ACPR/433/2017 du 27 juin 2017 consid. 7.2 in fine) et qu'aucune mise en prévention n'a été prononcée (ACPR/196/2016 du 11 avril 2016 consid. 6.2 in fine). À teneur de l'art. 433 al. 2 CPP, la partie plaignante doit chiffrer et justifier ses prétentions ; si elle ne s'acquitte pas de cette obligation, l'autorité pénale n'entre pas en matière sur la demande, ce qui s'explique par le fait que la maxime d'instruction ne s'applique pas à l'égard de la partie plaignante : celle-ci doit demeurer active et demander elle-même une indemnisation, sous peine de péremption (arrêts du Tribunal fédéral 1B_475/2011 du 11 janvier 2012 consid. 2.2 et 6B_965/2013 du 3 décembre 2013 consid. 3.1.2.).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La Chambre de céans admet, en matière d'honoraires d'avocat, un tarif horaire de CHF 450.- pour un chef d'étude qui calcule sa prétention à ce taux (ACPR/782/2016 du 8 décembre 2016 consid. 5.2).</w:t>
      </w:r>
    </w:p>
    <w:p>
      <w:r>
        <w:rPr>
          <w:b/>
        </w:rPr>
        <w:t>E. 6.3</w:t>
      </w:r>
    </w:p>
    <w:p>
      <w:r>
        <w:t>En l'espèce, seules 30 minutes d'entretien avec la cliente, sur les trois heures annoncées, seront prises en compte. L'étude plus approfondie du dossier ne paraissait pas nécessaire, l'avocat le connaissant déjà. Les dix heures pour la rédaction du recours sont excessives, le mémoire de recours tenant sur neuf pages – pages de garde et conclusions comprises – et la cause ne présentant aucune difficulté particulière. Une indemnité de CHF 1'938.60, correspondant à quatre heures au tarif de chef d'Étude, TVA de 7.7 % incluse, sera dès lors accordée. * * * * *</w:t>
      </w:r>
    </w:p>
    <w:p>
      <w:r>
        <w:t>- 10/10 - P/1323/2019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