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ACPR/673/2023 vom 6. April 2023</w:t>
      </w:r>
    </w:p>
    <w:p>
      <w:r>
        <w:t>GE Cour de justice, 2023-04-06, FR</w:t>
      </w:r>
    </w:p>
    <w:p>
      <w:r>
        <w:rPr>
          <w:b/>
        </w:rPr>
        <w:t xml:space="preserve">Quelle: </w:t>
      </w:r>
      <w:r>
        <w:t>https://mcp.opencaselaw.ch/entscheid/ge_gerichte_ACPR_673_2023</w:t>
      </w:r>
    </w:p>
    <w:p>
      <w:r>
        <w:t>FR: GE_GERICHTE ACPR/673/2023 du 6 avril 2023</w:t>
      </w:r>
    </w:p>
    <w:p>
      <w:r>
        <w:t>IT: GE_GERICHTE ACPR/673/2023 del 6 aprile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sont également recevables (arrêt du Tribunal fédéral 1B_550/2022 du 17 novembre 2022 consid. 2.1).</w:t>
      </w:r>
    </w:p>
    <w:p>
      <w:r>
        <w:rPr>
          <w:b/>
        </w:rPr>
        <w:t>E. 2</w:t>
      </w:r>
    </w:p>
    <w:p>
      <w:r>
        <w:t>La recourante reproche au Ministère public de n'être pas entré en matière sur les faits dénoncés.</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Selon l'art. 144 al. 1 CPP, se rend coupable de dommages à la propriété quiconque, sans droit, endommage, détruit ou met hors d’usage une chose appartenant à autrui ou frappée d’un droit d’usage ou d’usufruit au bénéfice d’autrui. L'auteur se rend coupable de dommages à la propriété dès qu'il cause un changement de l'état de la chose qui n'est pas immédiatement réversible sans frais ni effort et qui</w:t>
      </w:r>
    </w:p>
    <w:p>
      <w:r>
        <w:t>- 5/6 - P/6908/2023 porte atteinte à un intérêt légitime (arrêt du Tribunal fédéral 6B_77/2017 du 16 janvier 2018 consid. 2.1).</w:t>
      </w:r>
    </w:p>
    <w:p>
      <w:r>
        <w:rPr>
          <w:b/>
        </w:rPr>
        <w:t>E. 2.3</w:t>
      </w:r>
    </w:p>
    <w:p>
      <w:r>
        <w:t>En l'espèce, le mis en cause a admis avoir donné un coup de pied dans le "flanc gauche" du véhicule de la recourante. À côté de cela, le mari de la recourante a déclaré que le mis en cause avait asséné ce coup dans la portière avant droite et un voisin – dont rien ne permet de douter de l'impartialité – a confirmé avoir vu un homme effectuer un tel geste. Des photographies dévoilent des marques sur cette partie de la voiture, qui pourraient avoir été laissées par un coup de pied. Enfin, la recourante a produit un devis d'un garagiste, d'un montant de CHF 1'697.50, portant sur des travaux de peinture sur le côté en question. Face à ces éléments, des indices suffisants convergent vers les accusations de la plaignante, laissant penser que le mis en cause pouvait avoir commis un dommage à la propriété. Partant, il était prématuré de rendre une ordonnance de non-entrée en matière.</w:t>
      </w:r>
    </w:p>
    <w:p>
      <w:r>
        <w:rPr>
          <w:b/>
        </w:rPr>
        <w:t>E. 3</w:t>
      </w:r>
    </w:p>
    <w:p>
      <w:r>
        <w:t>Fondé, le recours sera admis. L'ordonnance querellée sera annulée et la cause renvoyée au Ministère public pour l'ouverture d'une instruction.</w:t>
      </w:r>
    </w:p>
    <w:p>
      <w:r>
        <w:rPr>
          <w:b/>
        </w:rPr>
        <w:t>E. 4</w:t>
      </w:r>
    </w:p>
    <w:p>
      <w:r>
        <w:t>L'admission du recours ne donne pas lieu à la perception de frais (art. 428 al. 1 CPP). Les sûretés versées par le recourant lui seront restituées.</w:t>
      </w:r>
    </w:p>
    <w:p>
      <w:r>
        <w:rPr>
          <w:b/>
        </w:rPr>
        <w:t>E. 5</w:t>
      </w:r>
    </w:p>
    <w:p>
      <w:r>
        <w:t>La recourante, partie plaignante, assistée d'un avocat, n'ayant ni chiffré ni a fortiori justifié l'indemnité requise pour ses frais de procédure, cette question ne sera pas examinée (art. 433 al. 2 CPP). * * * * *</w:t>
      </w:r>
    </w:p>
    <w:p>
      <w:r>
        <w:t>- 6/6 - P/6908/2023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