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ACPR/673/2020 vom 17. Juni 2020</w:t>
      </w:r>
    </w:p>
    <w:p>
      <w:r>
        <w:t>GE Cour de justice, 2020-06-17, FR</w:t>
      </w:r>
    </w:p>
    <w:p>
      <w:r>
        <w:rPr>
          <w:b/>
        </w:rPr>
        <w:t xml:space="preserve">Quelle: </w:t>
      </w:r>
      <w:r>
        <w:t>https://mcp.opencaselaw.ch/entscheid/ge_gerichte_ACPR_673_2020</w:t>
      </w:r>
    </w:p>
    <w:p>
      <w:r>
        <w:t>FR: GE_GERICHTE ACPR/673/2020 du 17 juin 2020</w:t>
      </w:r>
    </w:p>
    <w:p>
      <w:r>
        <w:t>IT: GE_GERICHTE ACPR/673/2020 del 17 giugno 2020</w:t>
      </w:r>
    </w:p>
    <w:p>
      <w:pPr>
        <w:pStyle w:val="Heading2"/>
      </w:pPr>
      <w:r>
        <w:t>Erwägungen</w:t>
      </w:r>
    </w:p>
    <w:p>
      <w:r>
        <w:rPr>
          <w:b/>
        </w:rPr>
        <w:t>E. 1</w:t>
      </w:r>
    </w:p>
    <w:p>
      <w:r>
        <w:t>En tant qu'ils ont été interjetés contre la même décision, ont trait au même complexe de faits et relèvent d'une problématique juridique identique, il se justifie de joindre les recours, sur lesquels la Chambre de céans statuera par un seul et même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w:t>
      </w:r>
    </w:p>
    <w:p>
      <w:r>
        <w:rPr>
          <w:b/>
        </w:rPr>
        <w:t>E. 3</w:t>
      </w:r>
    </w:p>
    <w:p>
      <w:r>
        <w:t>Les recourants reprochent au Ministère public d'avoir ordonné la reprise de la procédure préliminaire.</w:t>
      </w:r>
    </w:p>
    <w:p>
      <w:r>
        <w:rPr>
          <w:b/>
        </w:rPr>
        <w:t>E. 3.1</w:t>
      </w:r>
    </w:p>
    <w:p>
      <w:r>
        <w:t>L'art. 323 al. 1 CPP énonce deux conditions – cumulatives (ATF 141 IV 194 consid. 2.3 p. 197) – qui restreignent le champ d'application de cette forme de révision. Les faits ou moyens de preuve nouveaux doivent "révéler une responsabilité pénale du prévenu", mais aussi ne doivent pas "ressortir du dossier antérieur".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w:t>
      </w:r>
    </w:p>
    <w:p>
      <w:r>
        <w:rPr>
          <w:b/>
        </w:rPr>
        <w:t>E. 3.2</w:t>
      </w:r>
    </w:p>
    <w:p>
      <w:r>
        <w:t>Le fait est nouveau si l'autorité n'a pas pu en avoir eu connaissance. L'art. 323 al. 1 CPP assimile à la connaissance concrète les situations dans lesquelles il existait déjà dans le dossier des éléments se référant au fait (A. KUHN/ Y. JEANNERET/ C. PERRIER DEPEURSINGE (éds), Commentaire romand : Code de procédure pénale suisse, 2e éd., Bâle 2019,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w:t>
      </w:r>
    </w:p>
    <w:p>
      <w:r>
        <w:t>- 10/13 - P/1117/2019 du grand nombre d'affaires pénales qu'elles ont à traiter, les autorités d'instruction sont naturellement enclines à classer les procédures, ce qui donne à penser que l'on ne saurait se monter par trop exigeant s'agissant du respect du devoir de diligence (Message du Conseil fédéral relatif à l'unification du droit de la procédure pénale du 21 décembre 2005, FF 2006 1257).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 C. PERRIER DEPEURSINGE (éds), op. cit., n. 20 ad art. 323).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Tribunal fédéral 6B_1153/2016 consid. 3.2. in fine, non publié aux ATF 144 IV 81). Il est concevable qu'au cours de la première procédure, le ministère public ou une partie, notamment la partie plaignante, ait eu connaissance d'un moyen de preuve ou d'un fait important mais pour une raison quelconque, n'en ont volontairement pas parlé durant la procédure. En pareille occurrence, le principe de la bonne foi ou l'interdiction de l'abus de droit devrait en règle générale faire obstacle à une reprise de la procédure au détriment du prévenu (FF 2006 p. 1257).</w:t>
      </w:r>
    </w:p>
    <w:p>
      <w:r>
        <w:rPr>
          <w:b/>
        </w:rPr>
        <w:t>E. 3.3</w:t>
      </w:r>
    </w:p>
    <w:p>
      <w:r>
        <w:t>En l'espèce, force est de constater que, dans son courrier du 12 juin 2020, l'intimée fait état, pour ainsi dire intégralement, des mêmes faits que ceux dénoncés dans sa plainte du 15 août 2019, dirigée contre les mêmes personnes. Aussi, les pièces produites à l'appui de son courrier, à l'exception de l'avis de droit anglais, faisaient partie du dossier antérieur et ne constituent dès lors, en aucune manière, des moyens de preuve nouveaux. S'agissant de cette dernière pièce, il apparaît que les comptes de N______ LTD, sur lesquels elle est fondée ont été déposés par C______ au Registre du commerce britannique le 31 janvier 2019, soit avant le dépôt de la plainte pénale du 15 août 2019. Il apparaît ainsi que l'intimée aurait pu communiquer ce document au cours de cette procédure, qui s'est soldée par une décision de classement le 4 octobre 2019 et contre laquelle elle a renoncé à recourir. Quand bien même cette pièce devrait être considérée comme nouvelle, elle ne serait, en tout état de cause, pas susceptible de révéler une responsabilité pénale des prévenus dans les faits dénoncés. En effet, il n'est pas contesté que le diamant litigieux – qui a été confié à A______ – n'a pas été restitué à l'intimée et que le solde de son prix de vente n'a pas encore</w:t>
      </w:r>
    </w:p>
    <w:p>
      <w:r>
        <w:t>- 11/13 - P/1117/2019 été honoré par les mis en cause. Cependant, aucun élément au dossier ne permet de présumer que ces derniers n'auraient pas eu la volonté et la possibilité de respecter les termes du contrat. Il est relevé, à cet égard, qu'aucune action civile n'a été intentée par l'intimée contre les intéressés. Or, il apparaît que le litige relève plutôt des juridictions civiles, étant rappelé que l’instruction pénale n’a pas pour vocation de préparer les voies civiles ni de les éluder. Il en va de même de l'infraction d'escroquerie. L'intimée ne démontre pas en quoi une éventuelle tromperie des mis en cause aurait eu un caractère astucieux et en quoi ces derniers auraient fait preuve d'une rouerie particulière, dans le but de se voir confier un diamant et de se l'approprier dans un dessein d'enrichissement illégitime. Le fait qu'il ne soit pas établi que N______ LTD disposait de fonds suffisants pour s'acquitter de sa dette n'est pas non plus suffisant pour retenir qu'elle aurait été créée dans l'unique but d'éluder le paiement de celle-ci envers la plaignante. Quant au virement de USD 200'000.-, intervenu le 9 novembre 2018 au débit du compte de A______ en faveur de la plaignante, il ressortait déjà du dossier antérieur. Celui-ci n'est par ailleurs manifestement pas constitutif en lui-même d'une infraction commise au détriment de cette dernière. Il découle de ces considérations que l'intimée ne fournit aucun moyen de preuve nouveau ni autre élément plus tangible, par rapport à sa plainte du 15 août 2019, qui seraient susceptibles de fonder une prévention pénale à l'encontre des recourants. Il n'y a dès lors pas matière à revenir sur les motifs ayant fondé l'ordonnance de classement du 4 octobre 2019.</w:t>
      </w:r>
    </w:p>
    <w:p>
      <w:r>
        <w:rPr>
          <w:b/>
        </w:rPr>
        <w:t>E. 4</w:t>
      </w:r>
    </w:p>
    <w:p>
      <w:r>
        <w:t>Fondé, le recours doit être admis; partant, l'ordonnance querellée sera annulée.</w:t>
      </w:r>
    </w:p>
    <w:p>
      <w:r>
        <w:rPr>
          <w:b/>
        </w:rPr>
        <w:t>E. 5</w:t>
      </w:r>
    </w:p>
    <w:p>
      <w:r>
        <w:t>L'admission du recours ne donne pas lieu à la perception de frais (art. 428 al. 1 CPP).</w:t>
      </w:r>
    </w:p>
    <w:p>
      <w:r>
        <w:rPr>
          <w:b/>
        </w:rPr>
        <w:t>E. 6</w:t>
      </w:r>
    </w:p>
    <w:p>
      <w:r>
        <w:t>Les recourants, prévenus, qui obtiennent gain de cause, ont demandé une indemnité pour leur frais de défense.</w:t>
      </w:r>
    </w:p>
    <w:p>
      <w:r>
        <w:rPr>
          <w:b/>
        </w:rPr>
        <w:t>E. 6.1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Le juge ne doit ainsi pas avaliser purement et simplement les notes</w:t>
      </w:r>
    </w:p>
    <w:p>
      <w:r>
        <w:t>- 12/13 - P/1117/2019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6.2</w:t>
      </w:r>
    </w:p>
    <w:p>
      <w:r>
        <w:t>La Cour de justice applique au chef d'étude un tarif horaire de CHF 450.- (arrêt du Tribunal fédéral 2C_725/2010 du 31 octobre 2011 = SJ 2012 I 172 ; ACPR/279/2014 du 27 mai 2014).</w:t>
      </w:r>
    </w:p>
    <w:p>
      <w:r>
        <w:rPr>
          <w:b/>
        </w:rPr>
        <w:t>E. 6.3</w:t>
      </w:r>
    </w:p>
    <w:p>
      <w:r>
        <w:t>A______ n'a pas produit d'état de frais ni chiffré ses prétentions. Compte tenu de l'ampleur de ses écritures – un recours de 18 pages, dont 6 pages et demie sont consacrées à la discussion juridique, et une réplique de 3 pages –, un montant de CHF 4'050.-, correspondant à 9 heures d'activité, au tarif horaire de CHF 450.- apparaissent en adéquation avec le travail accompli. La TVA n'est pas due, en raison du domicile à l'étranger du recourant (ATF 141 IV 344).</w:t>
      </w:r>
    </w:p>
    <w:p>
      <w:r>
        <w:rPr>
          <w:b/>
        </w:rPr>
        <w:t>E. 6.4</w:t>
      </w:r>
    </w:p>
    <w:p>
      <w:r>
        <w:t>C______ a demandé une indemnité qu'il a chiffré à CHF 3'600.-, correspondant à 8 heures d'activités au tarif horaire de CHF 450.-. Ce montant apparaît toutefois excessif compte tenu de l'ampleur de son écriture – deux pages, pages de garde et de conclusions comprises – et sera ramené à CHF 2'423,25, TVA comprise, correspondant à cinq heures d'activité, au tarif de CHF 450.-. * * * * *</w:t>
      </w:r>
    </w:p>
    <w:p>
      <w:r>
        <w:t>- 13/13 - P/1117/2019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